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44D5" w14:textId="7C87A9C2" w:rsidR="005912C2" w:rsidRDefault="005912C2" w:rsidP="005912C2">
      <w:pPr>
        <w:jc w:val="right"/>
      </w:pPr>
    </w:p>
    <w:p w14:paraId="41549BE9" w14:textId="77777777" w:rsidR="005912C2" w:rsidRDefault="005912C2" w:rsidP="005912C2"/>
    <w:p w14:paraId="65EE0F49" w14:textId="77777777" w:rsidR="00481454" w:rsidRDefault="00481454"/>
    <w:p w14:paraId="78CD54F5" w14:textId="77777777" w:rsidR="00481454" w:rsidRPr="006D13CD" w:rsidRDefault="00481454">
      <w:pPr>
        <w:rPr>
          <w:b/>
          <w:sz w:val="32"/>
          <w:szCs w:val="32"/>
        </w:rPr>
      </w:pPr>
    </w:p>
    <w:p w14:paraId="78413B5A" w14:textId="77777777" w:rsidR="000C1AF6" w:rsidRPr="006D13CD" w:rsidRDefault="000C1AF6" w:rsidP="00F5353E">
      <w:pPr>
        <w:rPr>
          <w:rFonts w:ascii="Arial" w:hAnsi="Arial" w:cs="Arial"/>
          <w:b/>
          <w:sz w:val="32"/>
          <w:szCs w:val="32"/>
        </w:rPr>
      </w:pPr>
      <w:r w:rsidRPr="006D13CD">
        <w:rPr>
          <w:rFonts w:ascii="Arial" w:hAnsi="Arial" w:cs="Arial"/>
          <w:b/>
          <w:sz w:val="32"/>
          <w:szCs w:val="32"/>
        </w:rPr>
        <w:t>Norfolk and Waveney Clinical Policy Development Group</w:t>
      </w:r>
    </w:p>
    <w:p w14:paraId="4FC5E449" w14:textId="3FEEE68D" w:rsidR="00481454" w:rsidRPr="00DD112B" w:rsidRDefault="00481454">
      <w:pPr>
        <w:rPr>
          <w:rFonts w:ascii="Arial" w:hAnsi="Arial" w:cs="Arial"/>
          <w:b/>
          <w:sz w:val="32"/>
          <w:szCs w:val="32"/>
        </w:rPr>
      </w:pPr>
    </w:p>
    <w:p w14:paraId="0AA4B4E5" w14:textId="13434198" w:rsidR="00177D11" w:rsidRPr="00177D11" w:rsidRDefault="00B83B20" w:rsidP="007043E9">
      <w:pPr>
        <w:tabs>
          <w:tab w:val="left" w:pos="3597"/>
        </w:tabs>
        <w:spacing w:line="480" w:lineRule="auto"/>
        <w:ind w:right="1463"/>
        <w:jc w:val="center"/>
        <w:rPr>
          <w:b/>
          <w:sz w:val="36"/>
          <w:szCs w:val="36"/>
        </w:rPr>
      </w:pPr>
      <w:r w:rsidRPr="00177D11">
        <w:rPr>
          <w:b/>
          <w:sz w:val="36"/>
          <w:szCs w:val="36"/>
        </w:rPr>
        <w:t xml:space="preserve">Experimental </w:t>
      </w:r>
      <w:r w:rsidR="00177D11" w:rsidRPr="00177D11">
        <w:rPr>
          <w:b/>
          <w:sz w:val="36"/>
          <w:szCs w:val="36"/>
        </w:rPr>
        <w:t>and Unproven Treatments Policy</w:t>
      </w:r>
    </w:p>
    <w:p w14:paraId="469E3DAC" w14:textId="3FB0CB92" w:rsidR="00B83B20" w:rsidRDefault="00B83B20">
      <w:pPr>
        <w:rPr>
          <w:sz w:val="36"/>
          <w:szCs w:val="36"/>
        </w:rPr>
      </w:pPr>
    </w:p>
    <w:p w14:paraId="7C7E82F1" w14:textId="111421C1" w:rsidR="00B83B20" w:rsidRDefault="00B84484">
      <w:pPr>
        <w:rPr>
          <w:sz w:val="36"/>
          <w:szCs w:val="36"/>
        </w:rPr>
      </w:pPr>
      <w:r>
        <w:rPr>
          <w:sz w:val="36"/>
          <w:szCs w:val="36"/>
        </w:rPr>
        <w:t>Reviewed and Approved by CPDG:</w:t>
      </w:r>
      <w:r w:rsidR="001A670E">
        <w:rPr>
          <w:sz w:val="36"/>
          <w:szCs w:val="36"/>
        </w:rPr>
        <w:t xml:space="preserve"> </w:t>
      </w:r>
      <w:r w:rsidR="009F51E9">
        <w:rPr>
          <w:sz w:val="36"/>
          <w:szCs w:val="36"/>
        </w:rPr>
        <w:t>9</w:t>
      </w:r>
      <w:r w:rsidR="009F51E9">
        <w:rPr>
          <w:sz w:val="36"/>
          <w:szCs w:val="36"/>
          <w:vertAlign w:val="superscript"/>
        </w:rPr>
        <w:t xml:space="preserve">th </w:t>
      </w:r>
      <w:r w:rsidR="009F51E9">
        <w:rPr>
          <w:sz w:val="36"/>
          <w:szCs w:val="36"/>
        </w:rPr>
        <w:t>December 2021</w:t>
      </w:r>
    </w:p>
    <w:p w14:paraId="78101634" w14:textId="52CD6CC1" w:rsidR="00B84484" w:rsidRDefault="00B84484">
      <w:pPr>
        <w:rPr>
          <w:sz w:val="36"/>
          <w:szCs w:val="36"/>
        </w:rPr>
      </w:pPr>
      <w:r>
        <w:rPr>
          <w:sz w:val="36"/>
          <w:szCs w:val="36"/>
        </w:rPr>
        <w:t>Review and Approved by GB:</w:t>
      </w:r>
      <w:r w:rsidR="009F51E9">
        <w:rPr>
          <w:sz w:val="36"/>
          <w:szCs w:val="36"/>
        </w:rPr>
        <w:t xml:space="preserve"> 22</w:t>
      </w:r>
      <w:r w:rsidR="009F51E9" w:rsidRPr="009F51E9">
        <w:rPr>
          <w:sz w:val="36"/>
          <w:szCs w:val="36"/>
          <w:vertAlign w:val="superscript"/>
        </w:rPr>
        <w:t>nd</w:t>
      </w:r>
      <w:r w:rsidR="009F51E9">
        <w:rPr>
          <w:sz w:val="36"/>
          <w:szCs w:val="36"/>
          <w:vertAlign w:val="superscript"/>
        </w:rPr>
        <w:t xml:space="preserve"> </w:t>
      </w:r>
      <w:r w:rsidR="009F51E9">
        <w:rPr>
          <w:sz w:val="36"/>
          <w:szCs w:val="36"/>
        </w:rPr>
        <w:t>March 2022</w:t>
      </w:r>
    </w:p>
    <w:p w14:paraId="7B8B8BED" w14:textId="3383F630" w:rsidR="00B83B20" w:rsidRDefault="00B83B20">
      <w:pPr>
        <w:rPr>
          <w:sz w:val="36"/>
          <w:szCs w:val="36"/>
        </w:rPr>
      </w:pPr>
    </w:p>
    <w:p w14:paraId="68886946" w14:textId="77777777" w:rsidR="00B83B20" w:rsidRPr="006D13CD" w:rsidRDefault="00B83B20">
      <w:pPr>
        <w:rPr>
          <w:sz w:val="36"/>
          <w:szCs w:val="36"/>
        </w:rPr>
      </w:pPr>
    </w:p>
    <w:tbl>
      <w:tblPr>
        <w:tblStyle w:val="TableGrid"/>
        <w:tblW w:w="0" w:type="auto"/>
        <w:tblLook w:val="04A0" w:firstRow="1" w:lastRow="0" w:firstColumn="1" w:lastColumn="0" w:noHBand="0" w:noVBand="1"/>
      </w:tblPr>
      <w:tblGrid>
        <w:gridCol w:w="4508"/>
        <w:gridCol w:w="4508"/>
      </w:tblGrid>
      <w:tr w:rsidR="005C7D95" w14:paraId="02BB2D8A" w14:textId="77777777" w:rsidTr="005C7D95">
        <w:tc>
          <w:tcPr>
            <w:tcW w:w="4508" w:type="dxa"/>
          </w:tcPr>
          <w:p w14:paraId="55AADBD9" w14:textId="77777777" w:rsidR="005C7D95" w:rsidRPr="005C7D95" w:rsidRDefault="005C7D95">
            <w:pPr>
              <w:rPr>
                <w:rFonts w:ascii="Arial" w:hAnsi="Arial" w:cs="Arial"/>
                <w:b/>
                <w:sz w:val="24"/>
                <w:szCs w:val="24"/>
              </w:rPr>
            </w:pPr>
            <w:r w:rsidRPr="005C7D95">
              <w:rPr>
                <w:rFonts w:ascii="Arial" w:hAnsi="Arial" w:cs="Arial"/>
                <w:b/>
                <w:sz w:val="24"/>
                <w:szCs w:val="24"/>
              </w:rPr>
              <w:t xml:space="preserve">Policy Effective from </w:t>
            </w:r>
          </w:p>
        </w:tc>
        <w:tc>
          <w:tcPr>
            <w:tcW w:w="4508" w:type="dxa"/>
          </w:tcPr>
          <w:p w14:paraId="16C0EFC6" w14:textId="608CB7D5" w:rsidR="005C7D95" w:rsidRPr="005C7D95" w:rsidRDefault="009F51E9">
            <w:pPr>
              <w:rPr>
                <w:rFonts w:ascii="Arial" w:hAnsi="Arial" w:cs="Arial"/>
                <w:b/>
                <w:sz w:val="24"/>
                <w:szCs w:val="24"/>
              </w:rPr>
            </w:pPr>
            <w:r>
              <w:rPr>
                <w:rFonts w:ascii="Arial" w:hAnsi="Arial" w:cs="Arial"/>
                <w:b/>
                <w:sz w:val="24"/>
                <w:szCs w:val="24"/>
              </w:rPr>
              <w:t xml:space="preserve">  22.3.22</w:t>
            </w:r>
          </w:p>
        </w:tc>
      </w:tr>
      <w:tr w:rsidR="005C7D95" w14:paraId="388E3175" w14:textId="77777777" w:rsidTr="005C7D95">
        <w:tc>
          <w:tcPr>
            <w:tcW w:w="4508" w:type="dxa"/>
          </w:tcPr>
          <w:p w14:paraId="61CEB9DC" w14:textId="77777777" w:rsidR="005C7D95" w:rsidRPr="005C7D95" w:rsidRDefault="005C7D95">
            <w:pPr>
              <w:rPr>
                <w:rFonts w:ascii="Arial" w:hAnsi="Arial" w:cs="Arial"/>
                <w:b/>
                <w:sz w:val="24"/>
                <w:szCs w:val="24"/>
              </w:rPr>
            </w:pPr>
            <w:r w:rsidRPr="005C7D95">
              <w:rPr>
                <w:rFonts w:ascii="Arial" w:hAnsi="Arial" w:cs="Arial"/>
                <w:b/>
                <w:sz w:val="24"/>
                <w:szCs w:val="24"/>
              </w:rPr>
              <w:t>Due for Review</w:t>
            </w:r>
          </w:p>
        </w:tc>
        <w:tc>
          <w:tcPr>
            <w:tcW w:w="4508" w:type="dxa"/>
          </w:tcPr>
          <w:p w14:paraId="52BD05A3" w14:textId="4CB97240" w:rsidR="005C7D95" w:rsidRPr="005C7D95" w:rsidRDefault="009F51E9">
            <w:pPr>
              <w:rPr>
                <w:rFonts w:ascii="Arial" w:hAnsi="Arial" w:cs="Arial"/>
                <w:b/>
                <w:sz w:val="24"/>
                <w:szCs w:val="24"/>
              </w:rPr>
            </w:pPr>
            <w:r>
              <w:rPr>
                <w:rFonts w:ascii="Arial" w:hAnsi="Arial" w:cs="Arial"/>
                <w:b/>
                <w:sz w:val="24"/>
                <w:szCs w:val="24"/>
              </w:rPr>
              <w:t>April 2023</w:t>
            </w:r>
          </w:p>
        </w:tc>
      </w:tr>
    </w:tbl>
    <w:p w14:paraId="420C16EB" w14:textId="77777777" w:rsidR="00481454" w:rsidRDefault="00481454"/>
    <w:p w14:paraId="64D7FECD" w14:textId="77777777" w:rsidR="00481454" w:rsidRDefault="00481454"/>
    <w:p w14:paraId="4D56D89C" w14:textId="77777777" w:rsidR="00481454" w:rsidRDefault="00481454"/>
    <w:p w14:paraId="17C0C638" w14:textId="77777777" w:rsidR="00481454" w:rsidRDefault="00481454"/>
    <w:p w14:paraId="56F228AD" w14:textId="77777777" w:rsidR="00481454" w:rsidRDefault="00481454"/>
    <w:p w14:paraId="3D09F761" w14:textId="195950F9" w:rsidR="00790D3F" w:rsidRDefault="00790D3F" w:rsidP="00B83B20">
      <w:pPr>
        <w:tabs>
          <w:tab w:val="left" w:pos="6260"/>
        </w:tabs>
      </w:pPr>
    </w:p>
    <w:p w14:paraId="128430A2" w14:textId="744A77F6" w:rsidR="00BD2A97" w:rsidRDefault="00BD2A97" w:rsidP="00B83B20">
      <w:pPr>
        <w:tabs>
          <w:tab w:val="left" w:pos="6260"/>
        </w:tabs>
      </w:pPr>
    </w:p>
    <w:p w14:paraId="67E912A6" w14:textId="77777777" w:rsidR="00BD2A97" w:rsidRDefault="00BD2A97" w:rsidP="00B83B20">
      <w:pPr>
        <w:tabs>
          <w:tab w:val="left" w:pos="6260"/>
        </w:tabs>
      </w:pPr>
    </w:p>
    <w:p w14:paraId="17E81FA9" w14:textId="07260687" w:rsidR="00790D3F" w:rsidRDefault="00790D3F" w:rsidP="00B83B20">
      <w:pPr>
        <w:tabs>
          <w:tab w:val="left" w:pos="6260"/>
        </w:tabs>
      </w:pPr>
    </w:p>
    <w:p w14:paraId="58D513FA" w14:textId="77777777" w:rsidR="007043E9" w:rsidRDefault="007043E9" w:rsidP="00B83B20">
      <w:pPr>
        <w:tabs>
          <w:tab w:val="left" w:pos="6260"/>
        </w:tabs>
      </w:pPr>
    </w:p>
    <w:p w14:paraId="230F66AA" w14:textId="42642B91" w:rsidR="00481454" w:rsidRDefault="00B83B20" w:rsidP="00B83B20">
      <w:pPr>
        <w:tabs>
          <w:tab w:val="left" w:pos="6260"/>
        </w:tabs>
      </w:pPr>
      <w:r>
        <w:tab/>
      </w:r>
    </w:p>
    <w:sdt>
      <w:sdtPr>
        <w:rPr>
          <w:rFonts w:asciiTheme="minorHAnsi" w:eastAsiaTheme="minorEastAsia" w:hAnsiTheme="minorHAnsi" w:cs="Times New Roman"/>
          <w:color w:val="auto"/>
          <w:sz w:val="20"/>
          <w:szCs w:val="20"/>
          <w:lang w:val="en-GB"/>
        </w:rPr>
        <w:id w:val="-1920394628"/>
        <w:docPartObj>
          <w:docPartGallery w:val="Table of Contents"/>
          <w:docPartUnique/>
        </w:docPartObj>
      </w:sdtPr>
      <w:sdtEndPr>
        <w:rPr>
          <w:rFonts w:eastAsiaTheme="minorHAnsi" w:cstheme="minorBidi"/>
        </w:rPr>
      </w:sdtEndPr>
      <w:sdtContent>
        <w:p w14:paraId="0F8B8419" w14:textId="20634FB0" w:rsidR="00F5353E" w:rsidRPr="0097206E" w:rsidRDefault="00F5353E">
          <w:pPr>
            <w:pStyle w:val="TOCHeading"/>
            <w:rPr>
              <w:sz w:val="20"/>
              <w:szCs w:val="20"/>
            </w:rPr>
          </w:pPr>
          <w:r w:rsidRPr="0097206E">
            <w:rPr>
              <w:sz w:val="20"/>
              <w:szCs w:val="20"/>
            </w:rPr>
            <w:t>Contents</w:t>
          </w:r>
        </w:p>
        <w:p w14:paraId="65A72373" w14:textId="709BAD5E" w:rsidR="00790D3F" w:rsidRPr="0097206E" w:rsidRDefault="00790D3F" w:rsidP="00790D3F">
          <w:pPr>
            <w:pStyle w:val="TOC1"/>
            <w:ind w:left="360"/>
            <w:rPr>
              <w:sz w:val="20"/>
              <w:szCs w:val="20"/>
            </w:rPr>
          </w:pPr>
        </w:p>
        <w:p w14:paraId="2AA61BC0" w14:textId="407F448E" w:rsidR="00F5353E" w:rsidRPr="0097206E" w:rsidRDefault="00F5353E" w:rsidP="00BB1343">
          <w:pPr>
            <w:pStyle w:val="ListParagraph"/>
            <w:numPr>
              <w:ilvl w:val="0"/>
              <w:numId w:val="21"/>
            </w:numPr>
            <w:spacing w:line="360" w:lineRule="auto"/>
            <w:rPr>
              <w:rFonts w:ascii="Arial" w:hAnsi="Arial" w:cs="Arial"/>
              <w:b/>
              <w:bCs/>
              <w:sz w:val="20"/>
              <w:szCs w:val="20"/>
            </w:rPr>
          </w:pPr>
          <w:r w:rsidRPr="0097206E">
            <w:rPr>
              <w:rFonts w:ascii="Arial" w:hAnsi="Arial" w:cs="Arial"/>
              <w:b/>
              <w:bCs/>
              <w:sz w:val="20"/>
              <w:szCs w:val="20"/>
            </w:rPr>
            <w:t>What is Experimental Treatment</w:t>
          </w:r>
          <w:r w:rsidR="00BB1343" w:rsidRPr="0097206E">
            <w:rPr>
              <w:rFonts w:ascii="Arial" w:hAnsi="Arial" w:cs="Arial"/>
              <w:b/>
              <w:bCs/>
              <w:sz w:val="20"/>
              <w:szCs w:val="20"/>
            </w:rPr>
            <w:t>……………………………………………</w:t>
          </w:r>
          <w:r w:rsidR="00D970F1" w:rsidRPr="0097206E">
            <w:rPr>
              <w:rFonts w:ascii="Arial" w:hAnsi="Arial" w:cs="Arial"/>
              <w:b/>
              <w:bCs/>
              <w:sz w:val="20"/>
              <w:szCs w:val="20"/>
            </w:rPr>
            <w:t>…………</w:t>
          </w:r>
          <w:r w:rsidR="00463502" w:rsidRPr="0097206E">
            <w:rPr>
              <w:rFonts w:ascii="Arial" w:hAnsi="Arial" w:cs="Arial"/>
              <w:b/>
              <w:bCs/>
              <w:sz w:val="20"/>
              <w:szCs w:val="20"/>
            </w:rPr>
            <w:t>…..</w:t>
          </w:r>
          <w:r w:rsidR="00E34411" w:rsidRPr="0097206E">
            <w:rPr>
              <w:rFonts w:ascii="Arial" w:hAnsi="Arial" w:cs="Arial"/>
              <w:b/>
              <w:bCs/>
              <w:sz w:val="20"/>
              <w:szCs w:val="20"/>
            </w:rPr>
            <w:t>4</w:t>
          </w:r>
        </w:p>
        <w:p w14:paraId="687DFBE0" w14:textId="0DC5F570" w:rsidR="00F5353E" w:rsidRPr="0097206E" w:rsidRDefault="00F5353E" w:rsidP="00BB1343">
          <w:pPr>
            <w:pStyle w:val="ListParagraph"/>
            <w:numPr>
              <w:ilvl w:val="0"/>
              <w:numId w:val="21"/>
            </w:numPr>
            <w:spacing w:line="360" w:lineRule="auto"/>
            <w:rPr>
              <w:rFonts w:ascii="Arial" w:hAnsi="Arial" w:cs="Arial"/>
              <w:b/>
              <w:bCs/>
              <w:sz w:val="20"/>
              <w:szCs w:val="20"/>
            </w:rPr>
          </w:pPr>
          <w:r w:rsidRPr="0097206E">
            <w:rPr>
              <w:rFonts w:ascii="Arial" w:hAnsi="Arial" w:cs="Arial"/>
              <w:b/>
              <w:bCs/>
              <w:sz w:val="20"/>
              <w:szCs w:val="20"/>
            </w:rPr>
            <w:t>Excess Treatment Costs (ETC’s) in Research</w:t>
          </w:r>
          <w:r w:rsidR="00BB1343" w:rsidRPr="0097206E">
            <w:rPr>
              <w:rFonts w:ascii="Arial" w:hAnsi="Arial" w:cs="Arial"/>
              <w:b/>
              <w:bCs/>
              <w:sz w:val="20"/>
              <w:szCs w:val="20"/>
            </w:rPr>
            <w:t>……………………………</w:t>
          </w:r>
          <w:r w:rsidR="00D970F1" w:rsidRPr="0097206E">
            <w:rPr>
              <w:rFonts w:ascii="Arial" w:hAnsi="Arial" w:cs="Arial"/>
              <w:b/>
              <w:bCs/>
              <w:sz w:val="20"/>
              <w:szCs w:val="20"/>
            </w:rPr>
            <w:t>…………</w:t>
          </w:r>
          <w:r w:rsidR="00463502" w:rsidRPr="0097206E">
            <w:rPr>
              <w:rFonts w:ascii="Arial" w:hAnsi="Arial" w:cs="Arial"/>
              <w:b/>
              <w:bCs/>
              <w:sz w:val="20"/>
              <w:szCs w:val="20"/>
            </w:rPr>
            <w:t>….</w:t>
          </w:r>
          <w:r w:rsidR="00E34411" w:rsidRPr="0097206E">
            <w:rPr>
              <w:rFonts w:ascii="Arial" w:hAnsi="Arial" w:cs="Arial"/>
              <w:b/>
              <w:bCs/>
              <w:sz w:val="20"/>
              <w:szCs w:val="20"/>
            </w:rPr>
            <w:t>4</w:t>
          </w:r>
        </w:p>
        <w:p w14:paraId="4AF00D4C" w14:textId="0872C356" w:rsidR="00F5353E" w:rsidRPr="0097206E" w:rsidRDefault="00F5353E" w:rsidP="00BB1343">
          <w:pPr>
            <w:pStyle w:val="ListParagraph"/>
            <w:numPr>
              <w:ilvl w:val="0"/>
              <w:numId w:val="21"/>
            </w:numPr>
            <w:spacing w:line="360" w:lineRule="auto"/>
            <w:rPr>
              <w:rFonts w:ascii="Arial" w:hAnsi="Arial" w:cs="Arial"/>
              <w:b/>
              <w:bCs/>
              <w:sz w:val="20"/>
              <w:szCs w:val="20"/>
            </w:rPr>
          </w:pPr>
          <w:r w:rsidRPr="0097206E">
            <w:rPr>
              <w:rFonts w:ascii="Arial" w:hAnsi="Arial" w:cs="Arial"/>
              <w:b/>
              <w:bCs/>
              <w:sz w:val="20"/>
              <w:szCs w:val="20"/>
            </w:rPr>
            <w:t>Commercially Funded Trials</w:t>
          </w:r>
          <w:r w:rsidR="00BB1343" w:rsidRPr="0097206E">
            <w:rPr>
              <w:rFonts w:ascii="Arial" w:hAnsi="Arial" w:cs="Arial"/>
              <w:b/>
              <w:bCs/>
              <w:sz w:val="20"/>
              <w:szCs w:val="20"/>
            </w:rPr>
            <w:t>…………………………………………………</w:t>
          </w:r>
          <w:r w:rsidR="00D970F1" w:rsidRPr="0097206E">
            <w:rPr>
              <w:rFonts w:ascii="Arial" w:hAnsi="Arial" w:cs="Arial"/>
              <w:b/>
              <w:bCs/>
              <w:sz w:val="20"/>
              <w:szCs w:val="20"/>
            </w:rPr>
            <w:t>…………</w:t>
          </w:r>
          <w:r w:rsidR="00463502" w:rsidRPr="0097206E">
            <w:rPr>
              <w:rFonts w:ascii="Arial" w:hAnsi="Arial" w:cs="Arial"/>
              <w:b/>
              <w:bCs/>
              <w:sz w:val="20"/>
              <w:szCs w:val="20"/>
            </w:rPr>
            <w:t>….</w:t>
          </w:r>
          <w:r w:rsidR="00E34411" w:rsidRPr="0097206E">
            <w:rPr>
              <w:rFonts w:ascii="Arial" w:hAnsi="Arial" w:cs="Arial"/>
              <w:b/>
              <w:bCs/>
              <w:sz w:val="20"/>
              <w:szCs w:val="20"/>
            </w:rPr>
            <w:t>4</w:t>
          </w:r>
        </w:p>
        <w:p w14:paraId="5C7CE2F4" w14:textId="2BEE7689" w:rsidR="00F5353E" w:rsidRPr="0097206E" w:rsidRDefault="00F5353E" w:rsidP="00BB1343">
          <w:pPr>
            <w:pStyle w:val="ListParagraph"/>
            <w:numPr>
              <w:ilvl w:val="0"/>
              <w:numId w:val="21"/>
            </w:numPr>
            <w:spacing w:line="360" w:lineRule="auto"/>
            <w:rPr>
              <w:rFonts w:ascii="Arial" w:hAnsi="Arial" w:cs="Arial"/>
              <w:b/>
              <w:bCs/>
              <w:sz w:val="20"/>
              <w:szCs w:val="20"/>
            </w:rPr>
          </w:pPr>
          <w:r w:rsidRPr="0097206E">
            <w:rPr>
              <w:rFonts w:ascii="Arial" w:hAnsi="Arial" w:cs="Arial"/>
              <w:b/>
              <w:bCs/>
              <w:sz w:val="20"/>
              <w:szCs w:val="20"/>
            </w:rPr>
            <w:t>Non-Commercially Funded Trials</w:t>
          </w:r>
          <w:r w:rsidR="00BB1343" w:rsidRPr="0097206E">
            <w:rPr>
              <w:rFonts w:ascii="Arial" w:hAnsi="Arial" w:cs="Arial"/>
              <w:b/>
              <w:bCs/>
              <w:sz w:val="20"/>
              <w:szCs w:val="20"/>
            </w:rPr>
            <w:t>…………………………………………</w:t>
          </w:r>
          <w:r w:rsidR="00E82B81" w:rsidRPr="0097206E">
            <w:rPr>
              <w:rFonts w:ascii="Arial" w:hAnsi="Arial" w:cs="Arial"/>
              <w:b/>
              <w:bCs/>
              <w:sz w:val="20"/>
              <w:szCs w:val="20"/>
            </w:rPr>
            <w:t>…</w:t>
          </w:r>
          <w:r w:rsidR="00D970F1" w:rsidRPr="0097206E">
            <w:rPr>
              <w:rFonts w:ascii="Arial" w:hAnsi="Arial" w:cs="Arial"/>
              <w:b/>
              <w:bCs/>
              <w:sz w:val="20"/>
              <w:szCs w:val="20"/>
            </w:rPr>
            <w:t>…………</w:t>
          </w:r>
          <w:r w:rsidR="00463502" w:rsidRPr="0097206E">
            <w:rPr>
              <w:rFonts w:ascii="Arial" w:hAnsi="Arial" w:cs="Arial"/>
              <w:b/>
              <w:bCs/>
              <w:sz w:val="20"/>
              <w:szCs w:val="20"/>
            </w:rPr>
            <w:t>…</w:t>
          </w:r>
          <w:r w:rsidR="00E82B81" w:rsidRPr="0097206E">
            <w:rPr>
              <w:rFonts w:ascii="Arial" w:hAnsi="Arial" w:cs="Arial"/>
              <w:b/>
              <w:bCs/>
              <w:sz w:val="20"/>
              <w:szCs w:val="20"/>
            </w:rPr>
            <w:t>5</w:t>
          </w:r>
        </w:p>
        <w:p w14:paraId="764639D6" w14:textId="715663F3" w:rsidR="00BB6C94" w:rsidRPr="0097206E" w:rsidRDefault="00BB6C94" w:rsidP="00BB6C94">
          <w:pPr>
            <w:pStyle w:val="ListParagraph"/>
            <w:spacing w:line="360" w:lineRule="auto"/>
            <w:rPr>
              <w:rFonts w:ascii="Arial" w:hAnsi="Arial" w:cs="Arial"/>
              <w:b/>
              <w:bCs/>
              <w:sz w:val="20"/>
              <w:szCs w:val="20"/>
            </w:rPr>
          </w:pPr>
          <w:r w:rsidRPr="0097206E">
            <w:rPr>
              <w:rFonts w:ascii="Arial" w:hAnsi="Arial" w:cs="Arial"/>
              <w:b/>
              <w:bCs/>
              <w:sz w:val="20"/>
              <w:szCs w:val="20"/>
            </w:rPr>
            <w:t>4.1 On-going access to treatment following a clinical trial…………………………..5</w:t>
          </w:r>
        </w:p>
        <w:p w14:paraId="1A454C5A" w14:textId="1D6876CC" w:rsidR="00BB6C94" w:rsidRPr="0097206E" w:rsidRDefault="00BB6C94" w:rsidP="00BB6C94">
          <w:pPr>
            <w:pStyle w:val="ListParagraph"/>
            <w:spacing w:line="360" w:lineRule="auto"/>
            <w:rPr>
              <w:rFonts w:ascii="Arial" w:hAnsi="Arial" w:cs="Arial"/>
              <w:b/>
              <w:bCs/>
              <w:sz w:val="20"/>
              <w:szCs w:val="20"/>
            </w:rPr>
          </w:pPr>
          <w:r w:rsidRPr="0097206E">
            <w:rPr>
              <w:rFonts w:ascii="Arial" w:hAnsi="Arial" w:cs="Arial"/>
              <w:b/>
              <w:bCs/>
              <w:sz w:val="20"/>
              <w:szCs w:val="20"/>
            </w:rPr>
            <w:t>4.2 Funding excess treatment costs……………………………………………………...6</w:t>
          </w:r>
        </w:p>
        <w:p w14:paraId="2773DE63" w14:textId="2A13B505" w:rsidR="00E82B81" w:rsidRPr="0097206E" w:rsidRDefault="00BB6C94" w:rsidP="00BB6C94">
          <w:pPr>
            <w:pStyle w:val="ListParagraph"/>
            <w:spacing w:line="360" w:lineRule="auto"/>
            <w:rPr>
              <w:rFonts w:ascii="Arial" w:hAnsi="Arial" w:cs="Arial"/>
              <w:b/>
              <w:bCs/>
              <w:sz w:val="20"/>
              <w:szCs w:val="20"/>
            </w:rPr>
          </w:pPr>
          <w:r w:rsidRPr="0097206E">
            <w:rPr>
              <w:rFonts w:ascii="Arial" w:hAnsi="Arial" w:cs="Arial"/>
              <w:b/>
              <w:bCs/>
              <w:sz w:val="20"/>
              <w:szCs w:val="20"/>
            </w:rPr>
            <w:t>4.3 Assessing requirements to fund………………………………………………………6</w:t>
          </w:r>
        </w:p>
        <w:p w14:paraId="744E5EAB" w14:textId="1337841B" w:rsidR="00C41D0D" w:rsidRPr="0097206E" w:rsidRDefault="00C41D0D" w:rsidP="00BB1343">
          <w:pPr>
            <w:pStyle w:val="ListParagraph"/>
            <w:numPr>
              <w:ilvl w:val="0"/>
              <w:numId w:val="21"/>
            </w:numPr>
            <w:spacing w:line="360" w:lineRule="auto"/>
            <w:rPr>
              <w:rFonts w:ascii="Arial" w:hAnsi="Arial" w:cs="Arial"/>
              <w:b/>
              <w:bCs/>
              <w:sz w:val="20"/>
              <w:szCs w:val="20"/>
            </w:rPr>
          </w:pPr>
          <w:r w:rsidRPr="0097206E">
            <w:rPr>
              <w:rFonts w:ascii="Arial" w:hAnsi="Arial" w:cs="Arial"/>
              <w:b/>
              <w:bCs/>
              <w:sz w:val="20"/>
              <w:szCs w:val="20"/>
            </w:rPr>
            <w:t xml:space="preserve">Use of an Existing Treatment </w:t>
          </w:r>
          <w:r w:rsidR="00BB1343" w:rsidRPr="0097206E">
            <w:rPr>
              <w:rFonts w:ascii="Arial" w:hAnsi="Arial" w:cs="Arial"/>
              <w:b/>
              <w:bCs/>
              <w:sz w:val="20"/>
              <w:szCs w:val="20"/>
            </w:rPr>
            <w:t>E</w:t>
          </w:r>
          <w:r w:rsidRPr="0097206E">
            <w:rPr>
              <w:rFonts w:ascii="Arial" w:hAnsi="Arial" w:cs="Arial"/>
              <w:b/>
              <w:bCs/>
              <w:sz w:val="20"/>
              <w:szCs w:val="20"/>
            </w:rPr>
            <w:t xml:space="preserve">xperimentally for </w:t>
          </w:r>
          <w:r w:rsidR="00BB1343" w:rsidRPr="0097206E">
            <w:rPr>
              <w:rFonts w:ascii="Arial" w:hAnsi="Arial" w:cs="Arial"/>
              <w:b/>
              <w:bCs/>
              <w:sz w:val="20"/>
              <w:szCs w:val="20"/>
            </w:rPr>
            <w:t>R</w:t>
          </w:r>
          <w:r w:rsidRPr="0097206E">
            <w:rPr>
              <w:rFonts w:ascii="Arial" w:hAnsi="Arial" w:cs="Arial"/>
              <w:b/>
              <w:bCs/>
              <w:sz w:val="20"/>
              <w:szCs w:val="20"/>
            </w:rPr>
            <w:t xml:space="preserve">are </w:t>
          </w:r>
          <w:r w:rsidR="00BB1343" w:rsidRPr="0097206E">
            <w:rPr>
              <w:rFonts w:ascii="Arial" w:hAnsi="Arial" w:cs="Arial"/>
              <w:b/>
              <w:bCs/>
              <w:sz w:val="20"/>
              <w:szCs w:val="20"/>
            </w:rPr>
            <w:t>C</w:t>
          </w:r>
          <w:r w:rsidRPr="0097206E">
            <w:rPr>
              <w:rFonts w:ascii="Arial" w:hAnsi="Arial" w:cs="Arial"/>
              <w:b/>
              <w:bCs/>
              <w:sz w:val="20"/>
              <w:szCs w:val="20"/>
            </w:rPr>
            <w:t xml:space="preserve">linical </w:t>
          </w:r>
          <w:r w:rsidR="00BB1343" w:rsidRPr="0097206E">
            <w:rPr>
              <w:rFonts w:ascii="Arial" w:hAnsi="Arial" w:cs="Arial"/>
              <w:b/>
              <w:bCs/>
              <w:sz w:val="20"/>
              <w:szCs w:val="20"/>
            </w:rPr>
            <w:t>C</w:t>
          </w:r>
          <w:r w:rsidRPr="0097206E">
            <w:rPr>
              <w:rFonts w:ascii="Arial" w:hAnsi="Arial" w:cs="Arial"/>
              <w:b/>
              <w:bCs/>
              <w:sz w:val="20"/>
              <w:szCs w:val="20"/>
            </w:rPr>
            <w:t>ircumstances</w:t>
          </w:r>
          <w:r w:rsidR="00463502" w:rsidRPr="0097206E">
            <w:rPr>
              <w:rFonts w:ascii="Arial" w:hAnsi="Arial" w:cs="Arial"/>
              <w:b/>
              <w:bCs/>
              <w:sz w:val="20"/>
              <w:szCs w:val="20"/>
            </w:rPr>
            <w:t>….</w:t>
          </w:r>
          <w:r w:rsidR="00BB6C94" w:rsidRPr="0097206E">
            <w:rPr>
              <w:rFonts w:ascii="Arial" w:hAnsi="Arial" w:cs="Arial"/>
              <w:b/>
              <w:bCs/>
              <w:sz w:val="20"/>
              <w:szCs w:val="20"/>
            </w:rPr>
            <w:t>7</w:t>
          </w:r>
        </w:p>
        <w:p w14:paraId="14903D4F" w14:textId="77777777" w:rsidR="004172AD" w:rsidRPr="0097206E" w:rsidRDefault="00BB6C94" w:rsidP="0058292A">
          <w:pPr>
            <w:pStyle w:val="ListParagraph"/>
            <w:numPr>
              <w:ilvl w:val="0"/>
              <w:numId w:val="21"/>
            </w:numPr>
            <w:spacing w:line="360" w:lineRule="auto"/>
            <w:rPr>
              <w:rFonts w:ascii="Arial" w:hAnsi="Arial" w:cs="Arial"/>
              <w:b/>
              <w:sz w:val="20"/>
              <w:szCs w:val="20"/>
            </w:rPr>
          </w:pPr>
          <w:r w:rsidRPr="0097206E">
            <w:rPr>
              <w:rFonts w:ascii="Arial" w:hAnsi="Arial" w:cs="Arial"/>
              <w:b/>
              <w:bCs/>
              <w:sz w:val="20"/>
              <w:szCs w:val="20"/>
            </w:rPr>
            <w:t>Funding potentially important treatments with minimal evidence…………………..8</w:t>
          </w:r>
        </w:p>
        <w:p w14:paraId="1D5993A0" w14:textId="77777777" w:rsidR="004172AD" w:rsidRPr="0097206E" w:rsidRDefault="00BB6C94" w:rsidP="004172AD">
          <w:pPr>
            <w:pStyle w:val="ListParagraph"/>
            <w:spacing w:line="360" w:lineRule="auto"/>
            <w:rPr>
              <w:rFonts w:ascii="Arial" w:hAnsi="Arial" w:cs="Arial"/>
              <w:b/>
              <w:sz w:val="20"/>
              <w:szCs w:val="20"/>
            </w:rPr>
          </w:pPr>
          <w:r w:rsidRPr="0097206E">
            <w:rPr>
              <w:rFonts w:ascii="Arial" w:hAnsi="Arial" w:cs="Arial"/>
              <w:b/>
              <w:bCs/>
              <w:sz w:val="20"/>
              <w:szCs w:val="20"/>
            </w:rPr>
            <w:t xml:space="preserve">6.1 </w:t>
          </w:r>
          <w:r w:rsidRPr="0097206E">
            <w:rPr>
              <w:rFonts w:ascii="Arial" w:hAnsi="Arial" w:cs="Arial"/>
              <w:b/>
              <w:sz w:val="20"/>
              <w:szCs w:val="20"/>
            </w:rPr>
            <w:t>Treatments for which there is minimal evidence of effectiveness and no current research options………………………………………………………………………………8</w:t>
          </w:r>
        </w:p>
        <w:p w14:paraId="79C8BF7F" w14:textId="4051CE06" w:rsidR="00BB6C94" w:rsidRPr="0097206E" w:rsidRDefault="00BB6C94" w:rsidP="004172AD">
          <w:pPr>
            <w:pStyle w:val="ListParagraph"/>
            <w:spacing w:line="360" w:lineRule="auto"/>
            <w:rPr>
              <w:rFonts w:ascii="Arial" w:hAnsi="Arial" w:cs="Arial"/>
              <w:b/>
              <w:sz w:val="20"/>
              <w:szCs w:val="20"/>
            </w:rPr>
          </w:pPr>
          <w:r w:rsidRPr="0097206E">
            <w:rPr>
              <w:rFonts w:ascii="Arial" w:hAnsi="Arial" w:cs="Arial"/>
              <w:b/>
              <w:sz w:val="20"/>
              <w:szCs w:val="20"/>
            </w:rPr>
            <w:t>6.2 Treatments for which there are adequate trials……………………………………..8</w:t>
          </w:r>
        </w:p>
        <w:p w14:paraId="5A9DF0AA" w14:textId="188A07FA" w:rsidR="00790D3F" w:rsidRPr="0097206E" w:rsidRDefault="00790D3F" w:rsidP="00BB1343">
          <w:pPr>
            <w:spacing w:line="360" w:lineRule="auto"/>
            <w:rPr>
              <w:rFonts w:ascii="Arial" w:hAnsi="Arial" w:cs="Arial"/>
              <w:b/>
              <w:bCs/>
              <w:sz w:val="20"/>
              <w:szCs w:val="20"/>
            </w:rPr>
          </w:pPr>
          <w:r w:rsidRPr="0097206E">
            <w:rPr>
              <w:sz w:val="20"/>
              <w:szCs w:val="20"/>
            </w:rPr>
            <w:t xml:space="preserve">     </w:t>
          </w:r>
          <w:r w:rsidRPr="0097206E">
            <w:rPr>
              <w:b/>
              <w:bCs/>
              <w:sz w:val="20"/>
              <w:szCs w:val="20"/>
            </w:rPr>
            <w:t xml:space="preserve">  </w:t>
          </w:r>
          <w:r w:rsidR="00BB6C94" w:rsidRPr="0097206E">
            <w:rPr>
              <w:b/>
              <w:bCs/>
              <w:sz w:val="20"/>
              <w:szCs w:val="20"/>
            </w:rPr>
            <w:t>7.</w:t>
          </w:r>
          <w:r w:rsidRPr="0097206E">
            <w:rPr>
              <w:rFonts w:ascii="Arial" w:hAnsi="Arial" w:cs="Arial"/>
              <w:b/>
              <w:bCs/>
              <w:sz w:val="20"/>
              <w:szCs w:val="20"/>
            </w:rPr>
            <w:t xml:space="preserve"> Glossary</w:t>
          </w:r>
          <w:r w:rsidR="00BB1343" w:rsidRPr="0097206E">
            <w:rPr>
              <w:rFonts w:ascii="Arial" w:hAnsi="Arial" w:cs="Arial"/>
              <w:b/>
              <w:bCs/>
              <w:sz w:val="20"/>
              <w:szCs w:val="20"/>
            </w:rPr>
            <w:t>……………………………………………………………………………</w:t>
          </w:r>
          <w:r w:rsidR="00D970F1" w:rsidRPr="0097206E">
            <w:rPr>
              <w:rFonts w:ascii="Arial" w:hAnsi="Arial" w:cs="Arial"/>
              <w:b/>
              <w:bCs/>
              <w:sz w:val="20"/>
              <w:szCs w:val="20"/>
            </w:rPr>
            <w:t>………</w:t>
          </w:r>
          <w:r w:rsidR="00463502" w:rsidRPr="0097206E">
            <w:rPr>
              <w:rFonts w:ascii="Arial" w:hAnsi="Arial" w:cs="Arial"/>
              <w:b/>
              <w:bCs/>
              <w:sz w:val="20"/>
              <w:szCs w:val="20"/>
            </w:rPr>
            <w:t>……</w:t>
          </w:r>
          <w:r w:rsidR="004172AD" w:rsidRPr="0097206E">
            <w:rPr>
              <w:rFonts w:ascii="Arial" w:hAnsi="Arial" w:cs="Arial"/>
              <w:b/>
              <w:bCs/>
              <w:sz w:val="20"/>
              <w:szCs w:val="20"/>
            </w:rPr>
            <w:t>..</w:t>
          </w:r>
          <w:r w:rsidR="00BB6C94" w:rsidRPr="0097206E">
            <w:rPr>
              <w:rFonts w:ascii="Arial" w:hAnsi="Arial" w:cs="Arial"/>
              <w:b/>
              <w:bCs/>
              <w:sz w:val="20"/>
              <w:szCs w:val="20"/>
            </w:rPr>
            <w:t>9</w:t>
          </w:r>
        </w:p>
        <w:p w14:paraId="580B3AA6" w14:textId="4EDF7633" w:rsidR="00F5353E" w:rsidRPr="0097206E" w:rsidRDefault="00790D3F" w:rsidP="004172AD">
          <w:pPr>
            <w:spacing w:line="360" w:lineRule="auto"/>
            <w:rPr>
              <w:sz w:val="20"/>
              <w:szCs w:val="20"/>
            </w:rPr>
          </w:pPr>
          <w:r w:rsidRPr="0097206E">
            <w:rPr>
              <w:rFonts w:ascii="Arial" w:hAnsi="Arial" w:cs="Arial"/>
              <w:b/>
              <w:bCs/>
              <w:sz w:val="20"/>
              <w:szCs w:val="20"/>
            </w:rPr>
            <w:t xml:space="preserve">      </w:t>
          </w:r>
          <w:r w:rsidR="004172AD" w:rsidRPr="0097206E">
            <w:rPr>
              <w:rFonts w:ascii="Arial" w:hAnsi="Arial" w:cs="Arial"/>
              <w:b/>
              <w:bCs/>
              <w:sz w:val="20"/>
              <w:szCs w:val="20"/>
            </w:rPr>
            <w:t>8</w:t>
          </w:r>
          <w:r w:rsidRPr="0097206E">
            <w:rPr>
              <w:rFonts w:ascii="Arial" w:hAnsi="Arial" w:cs="Arial"/>
              <w:b/>
              <w:bCs/>
              <w:sz w:val="20"/>
              <w:szCs w:val="20"/>
            </w:rPr>
            <w:t>. References</w:t>
          </w:r>
          <w:r w:rsidR="00BB1343" w:rsidRPr="0097206E">
            <w:rPr>
              <w:rFonts w:ascii="Arial" w:hAnsi="Arial" w:cs="Arial"/>
              <w:b/>
              <w:bCs/>
              <w:sz w:val="20"/>
              <w:szCs w:val="20"/>
            </w:rPr>
            <w:t>…………………………………………………………………………</w:t>
          </w:r>
          <w:r w:rsidR="0099521D" w:rsidRPr="0097206E">
            <w:rPr>
              <w:rFonts w:ascii="Arial" w:hAnsi="Arial" w:cs="Arial"/>
              <w:b/>
              <w:bCs/>
              <w:sz w:val="20"/>
              <w:szCs w:val="20"/>
            </w:rPr>
            <w:t>…………</w:t>
          </w:r>
          <w:r w:rsidR="004172AD" w:rsidRPr="0097206E">
            <w:rPr>
              <w:rFonts w:ascii="Arial" w:hAnsi="Arial" w:cs="Arial"/>
              <w:b/>
              <w:bCs/>
              <w:sz w:val="20"/>
              <w:szCs w:val="20"/>
            </w:rPr>
            <w:t>….</w:t>
          </w:r>
          <w:r w:rsidR="00BB6C94" w:rsidRPr="0097206E">
            <w:rPr>
              <w:rFonts w:ascii="Arial" w:hAnsi="Arial" w:cs="Arial"/>
              <w:b/>
              <w:bCs/>
              <w:sz w:val="20"/>
              <w:szCs w:val="20"/>
            </w:rPr>
            <w:t>12</w:t>
          </w:r>
        </w:p>
      </w:sdtContent>
    </w:sdt>
    <w:p w14:paraId="4B98C383" w14:textId="3E9162FD" w:rsidR="00B83B20" w:rsidRPr="0097206E" w:rsidRDefault="00B83B20" w:rsidP="00B83B20">
      <w:pPr>
        <w:rPr>
          <w:sz w:val="20"/>
          <w:szCs w:val="20"/>
        </w:rPr>
      </w:pPr>
    </w:p>
    <w:p w14:paraId="6A8F5B0D" w14:textId="18A4E515" w:rsidR="00B83B20" w:rsidRDefault="00B83B20" w:rsidP="00B83B20">
      <w:pPr>
        <w:rPr>
          <w:b/>
          <w:bCs/>
          <w:noProof/>
        </w:rPr>
      </w:pPr>
    </w:p>
    <w:p w14:paraId="08F50490" w14:textId="3ABCC90D" w:rsidR="00B83B20" w:rsidRDefault="00B83B20" w:rsidP="00B83B20"/>
    <w:p w14:paraId="7779CF29" w14:textId="170D5720" w:rsidR="00B83B20" w:rsidRDefault="00B83B20" w:rsidP="00B83B20"/>
    <w:p w14:paraId="75D42A95" w14:textId="6BF17258" w:rsidR="00B83B20" w:rsidRDefault="007D4B74" w:rsidP="007D4B74">
      <w:pPr>
        <w:tabs>
          <w:tab w:val="left" w:pos="2295"/>
        </w:tabs>
      </w:pPr>
      <w:r>
        <w:tab/>
      </w:r>
    </w:p>
    <w:p w14:paraId="308B3D63" w14:textId="68BEBA75" w:rsidR="00B83B20" w:rsidRDefault="00B83B20" w:rsidP="00B83B20"/>
    <w:p w14:paraId="7803FCE2" w14:textId="5B3C59DE" w:rsidR="00B83B20" w:rsidRDefault="00B83B20" w:rsidP="00B83B20"/>
    <w:p w14:paraId="3550877F" w14:textId="49BC1E68" w:rsidR="00B84484" w:rsidRDefault="00B84484" w:rsidP="00B83B20"/>
    <w:p w14:paraId="50E7547F" w14:textId="55A1685F" w:rsidR="008558A9" w:rsidRDefault="008558A9" w:rsidP="00B83B20"/>
    <w:p w14:paraId="2C2DF55B" w14:textId="7A2A6CA9" w:rsidR="008558A9" w:rsidRDefault="008558A9" w:rsidP="00B83B20"/>
    <w:p w14:paraId="48978FF9" w14:textId="797B119B" w:rsidR="008558A9" w:rsidRDefault="008558A9" w:rsidP="00B83B20"/>
    <w:p w14:paraId="015F5276" w14:textId="48B8C6E1" w:rsidR="008558A9" w:rsidRDefault="008558A9" w:rsidP="00B83B20"/>
    <w:p w14:paraId="73B27B9A" w14:textId="213CC94B" w:rsidR="00BB1343" w:rsidRDefault="00BB1343" w:rsidP="00B83B20"/>
    <w:p w14:paraId="34030FF3" w14:textId="74879E9D" w:rsidR="00BB1343" w:rsidRDefault="00BB1343" w:rsidP="00B83B20"/>
    <w:p w14:paraId="11DCD5DD" w14:textId="50821E20" w:rsidR="00BB1343" w:rsidRDefault="00BB1343" w:rsidP="00B83B20"/>
    <w:p w14:paraId="2ACA998D" w14:textId="39718D97" w:rsidR="00BB63E5" w:rsidRDefault="00BB63E5" w:rsidP="00B83B20"/>
    <w:p w14:paraId="5451ABC0" w14:textId="77777777" w:rsidR="00BB63E5" w:rsidRDefault="00BB63E5" w:rsidP="00B83B20"/>
    <w:p w14:paraId="4325ACC1" w14:textId="77777777" w:rsidR="00BB1343" w:rsidRDefault="00BB1343" w:rsidP="00B83B20"/>
    <w:p w14:paraId="097FA801" w14:textId="53AAE7FA" w:rsidR="004360AA" w:rsidRPr="00BB1343" w:rsidRDefault="00BB1343" w:rsidP="004360AA">
      <w:pPr>
        <w:spacing w:after="3"/>
        <w:ind w:left="12" w:hanging="10"/>
        <w:jc w:val="both"/>
        <w:rPr>
          <w:rFonts w:ascii="Arial" w:eastAsia="Arial" w:hAnsi="Arial" w:cs="Arial"/>
          <w:b/>
          <w:color w:val="000000"/>
        </w:rPr>
      </w:pPr>
      <w:r w:rsidRPr="00BB1343">
        <w:rPr>
          <w:rFonts w:ascii="Arial" w:eastAsia="Arial" w:hAnsi="Arial" w:cs="Arial"/>
          <w:b/>
          <w:color w:val="000000"/>
        </w:rPr>
        <w:t>E</w:t>
      </w:r>
      <w:r w:rsidR="004360AA" w:rsidRPr="00BB1343">
        <w:rPr>
          <w:rFonts w:ascii="Arial" w:eastAsia="Arial" w:hAnsi="Arial" w:cs="Arial"/>
          <w:b/>
          <w:color w:val="000000"/>
        </w:rPr>
        <w:t xml:space="preserve">quality Statement </w:t>
      </w:r>
    </w:p>
    <w:p w14:paraId="015CF10E" w14:textId="77777777" w:rsidR="004360AA" w:rsidRPr="0036273F" w:rsidRDefault="004360AA" w:rsidP="004360AA">
      <w:pPr>
        <w:spacing w:after="3"/>
        <w:ind w:left="12" w:hanging="10"/>
        <w:jc w:val="both"/>
        <w:rPr>
          <w:rFonts w:eastAsia="Arial" w:cs="Arial"/>
          <w:b/>
          <w:color w:val="000000"/>
        </w:rPr>
      </w:pPr>
    </w:p>
    <w:p w14:paraId="65984C86" w14:textId="1777F580" w:rsidR="004360AA" w:rsidRPr="00BB1343" w:rsidRDefault="004360AA" w:rsidP="004360AA">
      <w:pPr>
        <w:spacing w:after="3"/>
        <w:ind w:left="12" w:hanging="10"/>
        <w:jc w:val="both"/>
        <w:rPr>
          <w:rFonts w:ascii="Arial" w:eastAsia="Arial" w:hAnsi="Arial" w:cs="Arial"/>
          <w:b/>
          <w:color w:val="000000"/>
        </w:rPr>
      </w:pPr>
      <w:r w:rsidRPr="00BB1343">
        <w:rPr>
          <w:rFonts w:ascii="Arial" w:eastAsia="Arial" w:hAnsi="Arial" w:cs="Arial"/>
          <w:color w:val="000000"/>
        </w:rPr>
        <w:t xml:space="preserve">The </w:t>
      </w:r>
      <w:r w:rsidR="00BD2A97">
        <w:rPr>
          <w:rFonts w:ascii="Arial" w:eastAsia="Arial" w:hAnsi="Arial" w:cs="Arial"/>
          <w:color w:val="000000"/>
        </w:rPr>
        <w:t xml:space="preserve">Norfolk &amp; Waveney Integrated Care Board (Norfolk &amp; Waveney ICB) </w:t>
      </w:r>
      <w:r w:rsidRPr="00BB1343">
        <w:rPr>
          <w:rFonts w:ascii="Arial" w:eastAsia="Arial" w:hAnsi="Arial" w:cs="Arial"/>
          <w:color w:val="000000"/>
        </w:rPr>
        <w:t>and the Clinical Policy Development Group (CPDG) are committed to ensuring equality of access and non-discrimination as enshrined in the Health and Social Care act 2012. In carrying out its functions, the CPDG will have due regard to the different needs of protected equality groups, in line with the Equality Act 2010. This document is compliant with the NHS Constitution and the Human Rights Act 1998.</w:t>
      </w:r>
      <w:r w:rsidRPr="00BB1343">
        <w:rPr>
          <w:rFonts w:ascii="Arial" w:eastAsia="Arial" w:hAnsi="Arial" w:cs="Arial"/>
          <w:b/>
          <w:color w:val="000000"/>
        </w:rPr>
        <w:t xml:space="preserve"> </w:t>
      </w:r>
    </w:p>
    <w:p w14:paraId="1EBC917E" w14:textId="5C36D30B" w:rsidR="004360AA" w:rsidRDefault="004360AA" w:rsidP="004360AA">
      <w:pPr>
        <w:spacing w:after="3"/>
        <w:ind w:left="12" w:hanging="10"/>
        <w:jc w:val="both"/>
        <w:rPr>
          <w:rFonts w:eastAsia="Arial" w:cs="Arial"/>
          <w:b/>
          <w:color w:val="000000"/>
        </w:rPr>
      </w:pPr>
      <w:r w:rsidRPr="0036273F">
        <w:rPr>
          <w:rFonts w:eastAsia="Arial" w:cs="Arial"/>
          <w:b/>
          <w:color w:val="000000"/>
        </w:rPr>
        <w:t xml:space="preserve"> </w:t>
      </w:r>
    </w:p>
    <w:p w14:paraId="3E4B3539" w14:textId="77777777" w:rsidR="00BB63E5" w:rsidRPr="0036273F" w:rsidRDefault="00BB63E5" w:rsidP="004360AA">
      <w:pPr>
        <w:spacing w:after="3"/>
        <w:ind w:left="12" w:hanging="10"/>
        <w:jc w:val="both"/>
        <w:rPr>
          <w:rFonts w:eastAsia="Arial" w:cs="Arial"/>
          <w:color w:val="000000"/>
        </w:rPr>
      </w:pPr>
    </w:p>
    <w:p w14:paraId="4326416D" w14:textId="77777777" w:rsidR="004360AA" w:rsidRPr="00BB1343" w:rsidRDefault="004360AA" w:rsidP="004360AA">
      <w:pPr>
        <w:spacing w:after="3"/>
        <w:ind w:left="12" w:hanging="10"/>
        <w:jc w:val="both"/>
        <w:rPr>
          <w:rFonts w:ascii="Arial" w:eastAsia="Arial" w:hAnsi="Arial" w:cs="Arial"/>
          <w:b/>
          <w:color w:val="000000"/>
        </w:rPr>
      </w:pPr>
      <w:r w:rsidRPr="00BB1343">
        <w:rPr>
          <w:rFonts w:ascii="Arial" w:eastAsia="Arial" w:hAnsi="Arial" w:cs="Arial"/>
          <w:b/>
          <w:color w:val="000000"/>
        </w:rPr>
        <w:t>Clinical Governance Statement</w:t>
      </w:r>
    </w:p>
    <w:p w14:paraId="2DA8C459" w14:textId="77777777" w:rsidR="004360AA" w:rsidRPr="0036273F" w:rsidRDefault="004360AA" w:rsidP="004360AA">
      <w:pPr>
        <w:spacing w:after="3"/>
        <w:ind w:left="12" w:hanging="10"/>
        <w:jc w:val="both"/>
        <w:rPr>
          <w:rFonts w:eastAsia="Arial" w:cs="Arial"/>
          <w:b/>
          <w:color w:val="000000"/>
        </w:rPr>
      </w:pPr>
    </w:p>
    <w:p w14:paraId="3E814454" w14:textId="77777777" w:rsidR="004360AA" w:rsidRPr="00BB1343" w:rsidRDefault="004360AA" w:rsidP="004360AA">
      <w:pPr>
        <w:spacing w:after="3"/>
        <w:ind w:left="12" w:hanging="10"/>
        <w:jc w:val="both"/>
        <w:rPr>
          <w:rFonts w:ascii="Arial" w:eastAsia="Arial" w:hAnsi="Arial" w:cs="Arial"/>
          <w:color w:val="000000"/>
        </w:rPr>
      </w:pPr>
      <w:r w:rsidRPr="00BB1343">
        <w:rPr>
          <w:rFonts w:ascii="Arial" w:eastAsia="Arial" w:hAnsi="Arial" w:cs="Arial"/>
          <w:color w:val="000000"/>
        </w:rPr>
        <w:t>It is important that the implementation of this policy is seen as an opportunity to encourage team working and cooperation between commissioners, primary and secondary care providers. Service Providers will be expected to collect and provide audit data on request as part of a professionally-led clinical review and audit cycle.</w:t>
      </w:r>
    </w:p>
    <w:p w14:paraId="002714A0" w14:textId="71A45598" w:rsidR="004360AA" w:rsidRDefault="004360AA" w:rsidP="004360AA">
      <w:pPr>
        <w:spacing w:after="3"/>
        <w:ind w:left="12" w:hanging="10"/>
        <w:jc w:val="both"/>
        <w:rPr>
          <w:rFonts w:eastAsia="Arial" w:cs="Arial"/>
          <w:color w:val="000000"/>
        </w:rPr>
      </w:pPr>
    </w:p>
    <w:p w14:paraId="48749C22" w14:textId="3C969E31" w:rsidR="00A56716" w:rsidRDefault="00A56716" w:rsidP="004360AA">
      <w:pPr>
        <w:spacing w:after="3"/>
        <w:ind w:left="12" w:hanging="10"/>
        <w:jc w:val="both"/>
        <w:rPr>
          <w:rFonts w:eastAsia="Arial" w:cs="Arial"/>
          <w:color w:val="000000"/>
        </w:rPr>
      </w:pPr>
    </w:p>
    <w:p w14:paraId="764EE3E3" w14:textId="77777777" w:rsidR="004360AA" w:rsidRPr="00BB1343" w:rsidRDefault="004360AA" w:rsidP="004360AA">
      <w:pPr>
        <w:spacing w:after="3"/>
        <w:ind w:left="12" w:hanging="10"/>
        <w:jc w:val="both"/>
        <w:rPr>
          <w:rFonts w:ascii="Arial" w:eastAsia="Arial" w:hAnsi="Arial" w:cs="Arial"/>
          <w:b/>
          <w:color w:val="000000"/>
        </w:rPr>
      </w:pPr>
      <w:r w:rsidRPr="00BB1343">
        <w:rPr>
          <w:rFonts w:ascii="Arial" w:eastAsia="Arial" w:hAnsi="Arial" w:cs="Arial"/>
          <w:b/>
          <w:color w:val="000000"/>
        </w:rPr>
        <w:t>Exceptionality</w:t>
      </w:r>
    </w:p>
    <w:p w14:paraId="4B896A49" w14:textId="77777777" w:rsidR="004360AA" w:rsidRPr="0036273F" w:rsidRDefault="004360AA" w:rsidP="004360AA">
      <w:pPr>
        <w:spacing w:after="3"/>
        <w:ind w:left="12" w:hanging="10"/>
        <w:jc w:val="both"/>
        <w:rPr>
          <w:rFonts w:eastAsia="Arial" w:cs="Arial"/>
          <w:b/>
          <w:color w:val="000000"/>
        </w:rPr>
      </w:pPr>
    </w:p>
    <w:p w14:paraId="71BF4D41" w14:textId="77777777" w:rsidR="004360AA" w:rsidRPr="00BB1343" w:rsidRDefault="004360AA" w:rsidP="004360AA">
      <w:pPr>
        <w:spacing w:after="3"/>
        <w:ind w:left="12" w:hanging="10"/>
        <w:jc w:val="both"/>
        <w:rPr>
          <w:rFonts w:ascii="Arial" w:eastAsia="Arial" w:hAnsi="Arial" w:cs="Arial"/>
          <w:color w:val="000000"/>
        </w:rPr>
      </w:pPr>
      <w:r w:rsidRPr="00BB1343">
        <w:rPr>
          <w:rFonts w:ascii="Arial" w:eastAsia="Arial" w:hAnsi="Arial" w:cs="Arial"/>
          <w:color w:val="000000"/>
        </w:rPr>
        <w:t>For patients not meeting the policy criteria or where a treatment is not routinely funded, an application should be made to the Individual Funding Request (IFR) panel if the referrer considers that there are clinically exceptional circumstances. IFR policy and procedure documents can be found on Knowledge Anglia.</w:t>
      </w:r>
    </w:p>
    <w:p w14:paraId="33750F6F" w14:textId="77777777" w:rsidR="004360AA" w:rsidRDefault="004360AA" w:rsidP="004360AA">
      <w:pPr>
        <w:tabs>
          <w:tab w:val="left" w:pos="3597"/>
        </w:tabs>
        <w:spacing w:line="480" w:lineRule="auto"/>
        <w:ind w:left="100" w:right="1463"/>
        <w:rPr>
          <w:b/>
          <w:bCs/>
          <w:sz w:val="28"/>
          <w:szCs w:val="28"/>
        </w:rPr>
      </w:pPr>
    </w:p>
    <w:p w14:paraId="53A3B535" w14:textId="34D2CE65" w:rsidR="004360AA" w:rsidRPr="00A702FC" w:rsidRDefault="00BB63E5" w:rsidP="007043E9">
      <w:pPr>
        <w:tabs>
          <w:tab w:val="left" w:pos="2870"/>
        </w:tabs>
        <w:spacing w:line="480" w:lineRule="auto"/>
        <w:ind w:right="1463"/>
        <w:rPr>
          <w:rFonts w:ascii="Arial" w:hAnsi="Arial" w:cs="Arial"/>
          <w:b/>
          <w:bCs/>
        </w:rPr>
      </w:pPr>
      <w:r w:rsidRPr="00A702FC">
        <w:rPr>
          <w:rFonts w:ascii="Arial" w:hAnsi="Arial" w:cs="Arial"/>
          <w:b/>
          <w:bCs/>
        </w:rPr>
        <w:t>S</w:t>
      </w:r>
      <w:r w:rsidR="00740392" w:rsidRPr="00A702FC">
        <w:rPr>
          <w:rFonts w:ascii="Arial" w:hAnsi="Arial" w:cs="Arial"/>
          <w:b/>
          <w:bCs/>
        </w:rPr>
        <w:t xml:space="preserve">cope of </w:t>
      </w:r>
      <w:r w:rsidRPr="00A702FC">
        <w:rPr>
          <w:rFonts w:ascii="Arial" w:hAnsi="Arial" w:cs="Arial"/>
          <w:b/>
          <w:bCs/>
        </w:rPr>
        <w:t>P</w:t>
      </w:r>
      <w:r w:rsidR="004360AA" w:rsidRPr="00A702FC">
        <w:rPr>
          <w:rFonts w:ascii="Arial" w:hAnsi="Arial" w:cs="Arial"/>
          <w:b/>
          <w:bCs/>
        </w:rPr>
        <w:t>olicy</w:t>
      </w:r>
    </w:p>
    <w:p w14:paraId="4A6B91CA" w14:textId="2BCC1C7D" w:rsidR="004360AA" w:rsidRPr="00A702FC" w:rsidRDefault="004360AA" w:rsidP="00740392">
      <w:pPr>
        <w:widowControl w:val="0"/>
        <w:tabs>
          <w:tab w:val="left" w:pos="808"/>
          <w:tab w:val="left" w:pos="809"/>
        </w:tabs>
        <w:autoSpaceDE w:val="0"/>
        <w:autoSpaceDN w:val="0"/>
        <w:spacing w:after="0" w:line="266" w:lineRule="exact"/>
        <w:ind w:right="235"/>
        <w:rPr>
          <w:rFonts w:ascii="Arial" w:hAnsi="Arial" w:cs="Arial"/>
        </w:rPr>
      </w:pPr>
      <w:bookmarkStart w:id="0" w:name="_Hlk82588808"/>
      <w:r w:rsidRPr="00A702FC">
        <w:rPr>
          <w:rFonts w:ascii="Arial" w:hAnsi="Arial" w:cs="Arial"/>
        </w:rPr>
        <w:t>This policy applies to any patient for whom</w:t>
      </w:r>
      <w:r w:rsidR="00BD2A97">
        <w:rPr>
          <w:rFonts w:ascii="Arial" w:hAnsi="Arial" w:cs="Arial"/>
        </w:rPr>
        <w:t xml:space="preserve"> Norfolk &amp; Waveney ICB</w:t>
      </w:r>
      <w:r w:rsidRPr="00A702FC">
        <w:rPr>
          <w:rFonts w:ascii="Arial" w:hAnsi="Arial" w:cs="Arial"/>
        </w:rPr>
        <w:t xml:space="preserve"> is the responsible commissioner.</w:t>
      </w:r>
    </w:p>
    <w:p w14:paraId="1BC4BC90" w14:textId="77777777" w:rsidR="004360AA" w:rsidRPr="00A702FC" w:rsidRDefault="004360AA" w:rsidP="004360AA">
      <w:pPr>
        <w:pStyle w:val="BodyText"/>
        <w:spacing w:before="5"/>
        <w:rPr>
          <w:rFonts w:ascii="Arial" w:hAnsi="Arial" w:cs="Arial"/>
        </w:rPr>
      </w:pPr>
    </w:p>
    <w:p w14:paraId="6582B368" w14:textId="77777777" w:rsidR="004360AA" w:rsidRPr="00A702FC" w:rsidRDefault="004360AA" w:rsidP="00740392">
      <w:pPr>
        <w:widowControl w:val="0"/>
        <w:tabs>
          <w:tab w:val="left" w:pos="808"/>
          <w:tab w:val="left" w:pos="809"/>
        </w:tabs>
        <w:autoSpaceDE w:val="0"/>
        <w:autoSpaceDN w:val="0"/>
        <w:spacing w:after="0" w:line="240" w:lineRule="auto"/>
        <w:ind w:right="809"/>
        <w:rPr>
          <w:rFonts w:ascii="Arial" w:hAnsi="Arial" w:cs="Arial"/>
        </w:rPr>
      </w:pPr>
      <w:bookmarkStart w:id="1" w:name="_Hlk82589416"/>
      <w:r w:rsidRPr="00A702FC">
        <w:rPr>
          <w:rFonts w:ascii="Arial" w:hAnsi="Arial" w:cs="Arial"/>
        </w:rPr>
        <w:t>This policy deals with the funding of experimental treatments only. It does not cover primary research into novel treatments</w:t>
      </w:r>
      <w:bookmarkEnd w:id="1"/>
      <w:r w:rsidRPr="00A702FC">
        <w:rPr>
          <w:rFonts w:ascii="Arial" w:hAnsi="Arial" w:cs="Arial"/>
        </w:rPr>
        <w:t>.</w:t>
      </w:r>
    </w:p>
    <w:p w14:paraId="6229877A" w14:textId="77777777" w:rsidR="004360AA" w:rsidRPr="00A702FC" w:rsidRDefault="004360AA" w:rsidP="004360AA">
      <w:pPr>
        <w:pStyle w:val="BodyText"/>
        <w:spacing w:before="5"/>
        <w:rPr>
          <w:rFonts w:ascii="Arial" w:hAnsi="Arial" w:cs="Arial"/>
          <w:sz w:val="29"/>
        </w:rPr>
      </w:pPr>
    </w:p>
    <w:p w14:paraId="6E3F4655" w14:textId="6C0394EB" w:rsidR="004360AA" w:rsidRPr="00BB63E5" w:rsidRDefault="004360AA" w:rsidP="00740392">
      <w:pPr>
        <w:widowControl w:val="0"/>
        <w:tabs>
          <w:tab w:val="left" w:pos="820"/>
          <w:tab w:val="left" w:pos="821"/>
        </w:tabs>
        <w:autoSpaceDE w:val="0"/>
        <w:autoSpaceDN w:val="0"/>
        <w:spacing w:after="0" w:line="240" w:lineRule="auto"/>
        <w:ind w:right="124"/>
        <w:rPr>
          <w:rFonts w:ascii="Arial" w:hAnsi="Arial" w:cs="Arial"/>
        </w:rPr>
      </w:pPr>
      <w:bookmarkStart w:id="2" w:name="_Hlk82589434"/>
      <w:r w:rsidRPr="00A702FC">
        <w:rPr>
          <w:rFonts w:ascii="Arial" w:hAnsi="Arial" w:cs="Arial"/>
        </w:rPr>
        <w:t>Treatments which are judged to be experimental or not to be of proven effectiveness will not be routinely</w:t>
      </w:r>
      <w:r w:rsidRPr="00A702FC">
        <w:rPr>
          <w:rFonts w:ascii="Arial" w:hAnsi="Arial" w:cs="Arial"/>
          <w:spacing w:val="-4"/>
        </w:rPr>
        <w:t xml:space="preserve"> </w:t>
      </w:r>
      <w:r w:rsidRPr="00A702FC">
        <w:rPr>
          <w:rFonts w:ascii="Arial" w:hAnsi="Arial" w:cs="Arial"/>
        </w:rPr>
        <w:t>funded.</w:t>
      </w:r>
    </w:p>
    <w:p w14:paraId="7FE76A8C" w14:textId="0E689AB1" w:rsidR="00740392" w:rsidRDefault="00740392" w:rsidP="00740392">
      <w:pPr>
        <w:pStyle w:val="ListParagraph"/>
      </w:pPr>
    </w:p>
    <w:p w14:paraId="5E032EEC" w14:textId="19FAB701" w:rsidR="007043E9" w:rsidRDefault="007043E9" w:rsidP="00740392">
      <w:pPr>
        <w:pStyle w:val="ListParagraph"/>
      </w:pPr>
    </w:p>
    <w:p w14:paraId="424B72A9" w14:textId="637A9A4E" w:rsidR="007043E9" w:rsidRDefault="007043E9" w:rsidP="00740392">
      <w:pPr>
        <w:pStyle w:val="ListParagraph"/>
      </w:pPr>
    </w:p>
    <w:p w14:paraId="717E852A" w14:textId="6DC66E1F" w:rsidR="007043E9" w:rsidRDefault="007043E9" w:rsidP="00740392">
      <w:pPr>
        <w:pStyle w:val="ListParagraph"/>
      </w:pPr>
    </w:p>
    <w:p w14:paraId="707B952B" w14:textId="501680D7" w:rsidR="004172AD" w:rsidRDefault="004172AD" w:rsidP="00740392">
      <w:pPr>
        <w:pStyle w:val="ListParagraph"/>
      </w:pPr>
    </w:p>
    <w:p w14:paraId="0A599971" w14:textId="77777777" w:rsidR="004172AD" w:rsidRDefault="004172AD" w:rsidP="00740392">
      <w:pPr>
        <w:pStyle w:val="ListParagraph"/>
      </w:pPr>
    </w:p>
    <w:p w14:paraId="6074E7A4" w14:textId="4881B3BC" w:rsidR="00740392" w:rsidRDefault="00740392" w:rsidP="00740392">
      <w:pPr>
        <w:widowControl w:val="0"/>
        <w:tabs>
          <w:tab w:val="left" w:pos="820"/>
          <w:tab w:val="left" w:pos="821"/>
        </w:tabs>
        <w:autoSpaceDE w:val="0"/>
        <w:autoSpaceDN w:val="0"/>
        <w:spacing w:after="0" w:line="240" w:lineRule="auto"/>
        <w:ind w:right="124"/>
      </w:pPr>
    </w:p>
    <w:p w14:paraId="497C8440" w14:textId="11D4B736" w:rsidR="00740392" w:rsidRPr="00BB63E5" w:rsidRDefault="00740392" w:rsidP="00BB63E5">
      <w:pPr>
        <w:pStyle w:val="ListParagraph"/>
        <w:numPr>
          <w:ilvl w:val="0"/>
          <w:numId w:val="22"/>
        </w:numPr>
        <w:tabs>
          <w:tab w:val="left" w:pos="686"/>
          <w:tab w:val="left" w:pos="687"/>
        </w:tabs>
        <w:spacing w:line="266" w:lineRule="exact"/>
        <w:ind w:right="346"/>
        <w:rPr>
          <w:rFonts w:ascii="Arial" w:hAnsi="Arial" w:cs="Arial"/>
          <w:b/>
          <w:bCs/>
          <w:color w:val="4472C4" w:themeColor="accent5"/>
          <w:sz w:val="28"/>
          <w:szCs w:val="28"/>
        </w:rPr>
      </w:pPr>
      <w:r w:rsidRPr="00BB63E5">
        <w:rPr>
          <w:rFonts w:ascii="Arial" w:hAnsi="Arial" w:cs="Arial"/>
          <w:b/>
          <w:bCs/>
          <w:color w:val="4472C4" w:themeColor="accent5"/>
          <w:sz w:val="28"/>
          <w:szCs w:val="28"/>
        </w:rPr>
        <w:t>What is an Experimental Treatment</w:t>
      </w:r>
    </w:p>
    <w:p w14:paraId="652EDE44" w14:textId="77777777" w:rsidR="00740392" w:rsidRPr="00A702FC" w:rsidRDefault="00740392" w:rsidP="00E34411">
      <w:pPr>
        <w:pStyle w:val="BodyText"/>
        <w:spacing w:before="1"/>
        <w:ind w:right="96"/>
        <w:rPr>
          <w:rFonts w:ascii="Arial" w:hAnsi="Arial" w:cs="Arial"/>
        </w:rPr>
      </w:pPr>
      <w:r w:rsidRPr="00A702FC">
        <w:rPr>
          <w:rFonts w:ascii="Arial" w:hAnsi="Arial" w:cs="Arial"/>
        </w:rPr>
        <w:t>Those funding health services seek to provide as comprehensive a healthcare service as possible across all patient groups and across the entire patient pathway, within an overriding legal obligation to stay within the financial budget allocated to them. Given that demand for healthcare will always exceed the resources available to fund treatment, it is justifiable to give the funding of experimental treatments a lower priority than funding the provision of core services and treatments of proven benefit.</w:t>
      </w:r>
    </w:p>
    <w:p w14:paraId="5211B3B0" w14:textId="77777777" w:rsidR="00740392" w:rsidRPr="00A702FC" w:rsidRDefault="00740392" w:rsidP="00740392">
      <w:pPr>
        <w:pStyle w:val="BodyText"/>
      </w:pPr>
    </w:p>
    <w:p w14:paraId="0C2750BD" w14:textId="77777777" w:rsidR="00740392" w:rsidRPr="00A702FC" w:rsidRDefault="00740392" w:rsidP="00E34411">
      <w:pPr>
        <w:tabs>
          <w:tab w:val="left" w:pos="686"/>
          <w:tab w:val="left" w:pos="687"/>
        </w:tabs>
        <w:spacing w:line="266" w:lineRule="exact"/>
        <w:ind w:right="346"/>
        <w:jc w:val="both"/>
        <w:rPr>
          <w:rFonts w:ascii="Arial" w:hAnsi="Arial" w:cs="Arial"/>
        </w:rPr>
      </w:pPr>
      <w:r w:rsidRPr="00A702FC">
        <w:rPr>
          <w:rFonts w:ascii="Arial" w:hAnsi="Arial" w:cs="Arial"/>
        </w:rPr>
        <w:t>Criteria for considering a treatment as experimental include:</w:t>
      </w:r>
    </w:p>
    <w:p w14:paraId="53886ED5" w14:textId="77777777" w:rsidR="00740392" w:rsidRPr="00A702FC" w:rsidRDefault="00740392" w:rsidP="00E34411">
      <w:pPr>
        <w:pStyle w:val="ListParagraph"/>
        <w:widowControl w:val="0"/>
        <w:numPr>
          <w:ilvl w:val="0"/>
          <w:numId w:val="7"/>
        </w:numPr>
        <w:tabs>
          <w:tab w:val="left" w:pos="686"/>
          <w:tab w:val="left" w:pos="687"/>
        </w:tabs>
        <w:autoSpaceDE w:val="0"/>
        <w:autoSpaceDN w:val="0"/>
        <w:spacing w:after="0" w:line="266" w:lineRule="exact"/>
        <w:ind w:right="346"/>
        <w:contextualSpacing w:val="0"/>
        <w:jc w:val="both"/>
        <w:rPr>
          <w:rFonts w:ascii="Arial" w:hAnsi="Arial" w:cs="Arial"/>
          <w:b/>
          <w:bCs/>
          <w:sz w:val="28"/>
          <w:szCs w:val="28"/>
        </w:rPr>
      </w:pPr>
      <w:r w:rsidRPr="00A702FC">
        <w:rPr>
          <w:rFonts w:ascii="Arial" w:hAnsi="Arial" w:cs="Arial"/>
        </w:rPr>
        <w:t>The treatment is still undergoing clinical trials for the indication in</w:t>
      </w:r>
      <w:r w:rsidRPr="00A702FC">
        <w:rPr>
          <w:rFonts w:ascii="Arial" w:hAnsi="Arial" w:cs="Arial"/>
          <w:spacing w:val="-23"/>
        </w:rPr>
        <w:t xml:space="preserve"> </w:t>
      </w:r>
      <w:r w:rsidRPr="00A702FC">
        <w:rPr>
          <w:rFonts w:ascii="Arial" w:hAnsi="Arial" w:cs="Arial"/>
        </w:rPr>
        <w:t>question.</w:t>
      </w:r>
    </w:p>
    <w:p w14:paraId="3410B2AD" w14:textId="77777777" w:rsidR="00740392" w:rsidRPr="00A702FC" w:rsidRDefault="00740392" w:rsidP="00E34411">
      <w:pPr>
        <w:pStyle w:val="ListParagraph"/>
        <w:widowControl w:val="0"/>
        <w:numPr>
          <w:ilvl w:val="0"/>
          <w:numId w:val="7"/>
        </w:numPr>
        <w:tabs>
          <w:tab w:val="left" w:pos="686"/>
          <w:tab w:val="left" w:pos="687"/>
        </w:tabs>
        <w:autoSpaceDE w:val="0"/>
        <w:autoSpaceDN w:val="0"/>
        <w:spacing w:after="0" w:line="266" w:lineRule="exact"/>
        <w:ind w:right="346"/>
        <w:contextualSpacing w:val="0"/>
        <w:jc w:val="both"/>
        <w:rPr>
          <w:rFonts w:ascii="Arial" w:hAnsi="Arial" w:cs="Arial"/>
          <w:b/>
          <w:bCs/>
          <w:sz w:val="28"/>
          <w:szCs w:val="28"/>
        </w:rPr>
      </w:pPr>
      <w:r w:rsidRPr="00A702FC">
        <w:rPr>
          <w:rFonts w:ascii="Arial" w:hAnsi="Arial" w:cs="Arial"/>
        </w:rPr>
        <w:t>There are no relevant articles published in the peer-reviewed journals available on the treatment for the indication in</w:t>
      </w:r>
      <w:r w:rsidRPr="00A702FC">
        <w:rPr>
          <w:rFonts w:ascii="Arial" w:hAnsi="Arial" w:cs="Arial"/>
          <w:spacing w:val="-3"/>
        </w:rPr>
        <w:t xml:space="preserve"> </w:t>
      </w:r>
      <w:r w:rsidRPr="00A702FC">
        <w:rPr>
          <w:rFonts w:ascii="Arial" w:hAnsi="Arial" w:cs="Arial"/>
        </w:rPr>
        <w:t>question.</w:t>
      </w:r>
    </w:p>
    <w:p w14:paraId="7FA373C1" w14:textId="77777777" w:rsidR="00740392" w:rsidRPr="00A702FC" w:rsidRDefault="00740392" w:rsidP="00E34411">
      <w:pPr>
        <w:pStyle w:val="ListParagraph"/>
        <w:widowControl w:val="0"/>
        <w:numPr>
          <w:ilvl w:val="0"/>
          <w:numId w:val="7"/>
        </w:numPr>
        <w:tabs>
          <w:tab w:val="left" w:pos="686"/>
          <w:tab w:val="left" w:pos="687"/>
        </w:tabs>
        <w:autoSpaceDE w:val="0"/>
        <w:autoSpaceDN w:val="0"/>
        <w:spacing w:after="0" w:line="266" w:lineRule="exact"/>
        <w:ind w:right="346"/>
        <w:contextualSpacing w:val="0"/>
        <w:jc w:val="both"/>
        <w:rPr>
          <w:rFonts w:ascii="Arial" w:hAnsi="Arial" w:cs="Arial"/>
          <w:b/>
          <w:bCs/>
          <w:sz w:val="28"/>
          <w:szCs w:val="28"/>
        </w:rPr>
      </w:pPr>
      <w:r w:rsidRPr="00A702FC">
        <w:rPr>
          <w:rFonts w:ascii="Arial" w:hAnsi="Arial" w:cs="Arial"/>
        </w:rPr>
        <w:t>The treatment does not have approval from the relevant government</w:t>
      </w:r>
      <w:r w:rsidRPr="00A702FC">
        <w:rPr>
          <w:rFonts w:ascii="Arial" w:hAnsi="Arial" w:cs="Arial"/>
          <w:spacing w:val="-26"/>
        </w:rPr>
        <w:t xml:space="preserve"> </w:t>
      </w:r>
      <w:r w:rsidRPr="00A702FC">
        <w:rPr>
          <w:rFonts w:ascii="Arial" w:hAnsi="Arial" w:cs="Arial"/>
        </w:rPr>
        <w:t>body.</w:t>
      </w:r>
    </w:p>
    <w:p w14:paraId="3C9CBC4F" w14:textId="77777777" w:rsidR="00740392" w:rsidRPr="00A702FC" w:rsidRDefault="00740392" w:rsidP="00E34411">
      <w:pPr>
        <w:pStyle w:val="ListParagraph"/>
        <w:widowControl w:val="0"/>
        <w:numPr>
          <w:ilvl w:val="0"/>
          <w:numId w:val="7"/>
        </w:numPr>
        <w:tabs>
          <w:tab w:val="left" w:pos="686"/>
          <w:tab w:val="left" w:pos="687"/>
        </w:tabs>
        <w:autoSpaceDE w:val="0"/>
        <w:autoSpaceDN w:val="0"/>
        <w:spacing w:after="0" w:line="266" w:lineRule="exact"/>
        <w:ind w:right="346"/>
        <w:contextualSpacing w:val="0"/>
        <w:jc w:val="both"/>
        <w:rPr>
          <w:rFonts w:ascii="Arial" w:hAnsi="Arial" w:cs="Arial"/>
          <w:b/>
          <w:bCs/>
          <w:sz w:val="28"/>
          <w:szCs w:val="28"/>
        </w:rPr>
      </w:pPr>
      <w:r w:rsidRPr="00A702FC">
        <w:rPr>
          <w:rFonts w:ascii="Arial" w:hAnsi="Arial" w:cs="Arial"/>
        </w:rPr>
        <w:t>The treatment does not conform to usual clinical practice in the view of the majority of medical practitioners in the relevant</w:t>
      </w:r>
      <w:r w:rsidRPr="00A702FC">
        <w:rPr>
          <w:rFonts w:ascii="Arial" w:hAnsi="Arial" w:cs="Arial"/>
          <w:spacing w:val="-12"/>
        </w:rPr>
        <w:t xml:space="preserve"> </w:t>
      </w:r>
      <w:r w:rsidRPr="00A702FC">
        <w:rPr>
          <w:rFonts w:ascii="Arial" w:hAnsi="Arial" w:cs="Arial"/>
        </w:rPr>
        <w:t>field.</w:t>
      </w:r>
    </w:p>
    <w:p w14:paraId="63F0ECA7" w14:textId="77777777" w:rsidR="00740392" w:rsidRPr="00A702FC" w:rsidRDefault="00740392" w:rsidP="00E34411">
      <w:pPr>
        <w:pStyle w:val="ListParagraph"/>
        <w:widowControl w:val="0"/>
        <w:numPr>
          <w:ilvl w:val="0"/>
          <w:numId w:val="7"/>
        </w:numPr>
        <w:tabs>
          <w:tab w:val="left" w:pos="686"/>
          <w:tab w:val="left" w:pos="687"/>
        </w:tabs>
        <w:autoSpaceDE w:val="0"/>
        <w:autoSpaceDN w:val="0"/>
        <w:spacing w:after="0" w:line="266" w:lineRule="exact"/>
        <w:ind w:right="346"/>
        <w:contextualSpacing w:val="0"/>
        <w:jc w:val="both"/>
        <w:rPr>
          <w:rFonts w:ascii="Arial" w:hAnsi="Arial" w:cs="Arial"/>
          <w:b/>
          <w:bCs/>
          <w:sz w:val="28"/>
          <w:szCs w:val="28"/>
        </w:rPr>
      </w:pPr>
      <w:r w:rsidRPr="00A702FC">
        <w:rPr>
          <w:rFonts w:ascii="Arial" w:hAnsi="Arial" w:cs="Arial"/>
        </w:rPr>
        <w:t>The treatment is being used in a way other than that previously studied or that for which it has been granted approval by the relevant government</w:t>
      </w:r>
      <w:r w:rsidRPr="00A702FC">
        <w:rPr>
          <w:rFonts w:ascii="Arial" w:hAnsi="Arial" w:cs="Arial"/>
          <w:spacing w:val="-16"/>
        </w:rPr>
        <w:t xml:space="preserve"> </w:t>
      </w:r>
      <w:r w:rsidRPr="00A702FC">
        <w:rPr>
          <w:rFonts w:ascii="Arial" w:hAnsi="Arial" w:cs="Arial"/>
        </w:rPr>
        <w:t>body.</w:t>
      </w:r>
    </w:p>
    <w:p w14:paraId="2CB3A739" w14:textId="2D34A4DA" w:rsidR="00740392" w:rsidRPr="00A702FC" w:rsidRDefault="00740392" w:rsidP="00E34411">
      <w:pPr>
        <w:pStyle w:val="ListParagraph"/>
        <w:widowControl w:val="0"/>
        <w:numPr>
          <w:ilvl w:val="0"/>
          <w:numId w:val="7"/>
        </w:numPr>
        <w:tabs>
          <w:tab w:val="left" w:pos="686"/>
          <w:tab w:val="left" w:pos="687"/>
        </w:tabs>
        <w:autoSpaceDE w:val="0"/>
        <w:autoSpaceDN w:val="0"/>
        <w:spacing w:after="0" w:line="266" w:lineRule="exact"/>
        <w:ind w:right="346"/>
        <w:contextualSpacing w:val="0"/>
        <w:jc w:val="both"/>
        <w:rPr>
          <w:rFonts w:ascii="Arial" w:hAnsi="Arial" w:cs="Arial"/>
          <w:b/>
          <w:bCs/>
          <w:sz w:val="28"/>
          <w:szCs w:val="28"/>
        </w:rPr>
      </w:pPr>
      <w:r w:rsidRPr="00A702FC">
        <w:rPr>
          <w:rFonts w:ascii="Arial" w:hAnsi="Arial" w:cs="Arial"/>
        </w:rPr>
        <w:t>The treatment is rarely used, novel, or unknown and there is a lack of authoritative evidence of safety and</w:t>
      </w:r>
      <w:r w:rsidRPr="00A702FC">
        <w:rPr>
          <w:rFonts w:ascii="Arial" w:hAnsi="Arial" w:cs="Arial"/>
          <w:spacing w:val="-9"/>
        </w:rPr>
        <w:t xml:space="preserve"> </w:t>
      </w:r>
      <w:r w:rsidRPr="00A702FC">
        <w:rPr>
          <w:rFonts w:ascii="Arial" w:hAnsi="Arial" w:cs="Arial"/>
        </w:rPr>
        <w:t>efficacy</w:t>
      </w:r>
      <w:r w:rsidR="00BB63E5" w:rsidRPr="00A702FC">
        <w:rPr>
          <w:rFonts w:ascii="Arial" w:hAnsi="Arial" w:cs="Arial"/>
        </w:rPr>
        <w:t>.</w:t>
      </w:r>
    </w:p>
    <w:p w14:paraId="74E3DECD" w14:textId="77777777" w:rsidR="00B6042F" w:rsidRPr="00A702FC" w:rsidRDefault="00B6042F" w:rsidP="00B6042F">
      <w:pPr>
        <w:widowControl w:val="0"/>
        <w:tabs>
          <w:tab w:val="left" w:pos="686"/>
          <w:tab w:val="left" w:pos="687"/>
        </w:tabs>
        <w:autoSpaceDE w:val="0"/>
        <w:autoSpaceDN w:val="0"/>
        <w:spacing w:after="0" w:line="266" w:lineRule="exact"/>
        <w:ind w:right="346"/>
        <w:rPr>
          <w:b/>
          <w:bCs/>
          <w:sz w:val="28"/>
          <w:szCs w:val="28"/>
        </w:rPr>
      </w:pPr>
    </w:p>
    <w:p w14:paraId="03230669" w14:textId="77777777" w:rsidR="00740392" w:rsidRPr="00A702FC" w:rsidRDefault="00740392" w:rsidP="00E34411">
      <w:pPr>
        <w:tabs>
          <w:tab w:val="left" w:pos="686"/>
          <w:tab w:val="left" w:pos="687"/>
        </w:tabs>
        <w:spacing w:line="266" w:lineRule="exact"/>
        <w:ind w:right="346"/>
        <w:rPr>
          <w:rFonts w:ascii="Arial" w:hAnsi="Arial" w:cs="Arial"/>
        </w:rPr>
      </w:pPr>
      <w:r w:rsidRPr="00A702FC">
        <w:rPr>
          <w:rFonts w:ascii="Arial" w:hAnsi="Arial" w:cs="Arial"/>
        </w:rPr>
        <w:t>From the position of those funding healthcare, two other criteria can be added:</w:t>
      </w:r>
    </w:p>
    <w:p w14:paraId="76BBA722" w14:textId="77777777" w:rsidR="00740392" w:rsidRPr="00A702FC" w:rsidRDefault="00740392" w:rsidP="00E34411">
      <w:pPr>
        <w:pStyle w:val="ListParagraph"/>
        <w:widowControl w:val="0"/>
        <w:numPr>
          <w:ilvl w:val="0"/>
          <w:numId w:val="8"/>
        </w:numPr>
        <w:tabs>
          <w:tab w:val="left" w:pos="686"/>
          <w:tab w:val="left" w:pos="687"/>
        </w:tabs>
        <w:autoSpaceDE w:val="0"/>
        <w:autoSpaceDN w:val="0"/>
        <w:spacing w:after="0" w:line="266" w:lineRule="exact"/>
        <w:ind w:right="346"/>
        <w:contextualSpacing w:val="0"/>
        <w:rPr>
          <w:rFonts w:ascii="Arial" w:hAnsi="Arial" w:cs="Arial"/>
          <w:b/>
          <w:bCs/>
          <w:sz w:val="28"/>
          <w:szCs w:val="28"/>
        </w:rPr>
      </w:pPr>
      <w:r w:rsidRPr="00A702FC">
        <w:rPr>
          <w:rFonts w:ascii="Arial" w:hAnsi="Arial" w:cs="Arial"/>
        </w:rPr>
        <w:t>The evidence is not yet available for public</w:t>
      </w:r>
      <w:r w:rsidRPr="00A702FC">
        <w:rPr>
          <w:rFonts w:ascii="Arial" w:hAnsi="Arial" w:cs="Arial"/>
          <w:spacing w:val="-15"/>
        </w:rPr>
        <w:t xml:space="preserve"> </w:t>
      </w:r>
      <w:r w:rsidRPr="00A702FC">
        <w:rPr>
          <w:rFonts w:ascii="Arial" w:hAnsi="Arial" w:cs="Arial"/>
        </w:rPr>
        <w:t>scrutiny.</w:t>
      </w:r>
    </w:p>
    <w:p w14:paraId="3EF687B1" w14:textId="1239B81A" w:rsidR="00740392" w:rsidRPr="00A702FC" w:rsidRDefault="00740392" w:rsidP="00B06B25">
      <w:pPr>
        <w:pStyle w:val="ListParagraph"/>
        <w:widowControl w:val="0"/>
        <w:numPr>
          <w:ilvl w:val="0"/>
          <w:numId w:val="8"/>
        </w:numPr>
        <w:tabs>
          <w:tab w:val="left" w:pos="686"/>
          <w:tab w:val="left" w:pos="687"/>
          <w:tab w:val="left" w:pos="820"/>
          <w:tab w:val="left" w:pos="821"/>
        </w:tabs>
        <w:autoSpaceDE w:val="0"/>
        <w:autoSpaceDN w:val="0"/>
        <w:spacing w:after="0" w:line="240" w:lineRule="auto"/>
        <w:ind w:right="124"/>
        <w:contextualSpacing w:val="0"/>
      </w:pPr>
      <w:r w:rsidRPr="00497E50">
        <w:rPr>
          <w:rFonts w:ascii="Arial" w:hAnsi="Arial" w:cs="Arial"/>
        </w:rPr>
        <w:t>The decision maker does not have confidence in the evidence base that has been presented (which refers to the interpretation of the</w:t>
      </w:r>
      <w:r w:rsidRPr="00497E50">
        <w:rPr>
          <w:rFonts w:ascii="Arial" w:hAnsi="Arial" w:cs="Arial"/>
          <w:spacing w:val="-8"/>
        </w:rPr>
        <w:t xml:space="preserve"> </w:t>
      </w:r>
      <w:r w:rsidRPr="00497E50">
        <w:rPr>
          <w:rFonts w:ascii="Arial" w:hAnsi="Arial" w:cs="Arial"/>
        </w:rPr>
        <w:t>evidence).</w:t>
      </w:r>
      <w:r w:rsidRPr="00A702FC">
        <w:br/>
      </w:r>
    </w:p>
    <w:p w14:paraId="44C8427A" w14:textId="0D076BB5" w:rsidR="004360AA" w:rsidRPr="00A702FC" w:rsidRDefault="004360AA" w:rsidP="00BB63E5">
      <w:pPr>
        <w:pStyle w:val="ListParagraph"/>
        <w:numPr>
          <w:ilvl w:val="0"/>
          <w:numId w:val="22"/>
        </w:numPr>
        <w:tabs>
          <w:tab w:val="left" w:pos="820"/>
          <w:tab w:val="left" w:pos="821"/>
        </w:tabs>
        <w:ind w:right="124"/>
        <w:rPr>
          <w:rFonts w:ascii="Arial" w:hAnsi="Arial" w:cs="Arial"/>
          <w:b/>
          <w:bCs/>
          <w:color w:val="4472C4" w:themeColor="accent5"/>
          <w:sz w:val="28"/>
          <w:szCs w:val="28"/>
        </w:rPr>
      </w:pPr>
      <w:r w:rsidRPr="00A702FC">
        <w:rPr>
          <w:rFonts w:ascii="Arial" w:hAnsi="Arial" w:cs="Arial"/>
          <w:b/>
          <w:bCs/>
          <w:color w:val="4472C4" w:themeColor="accent5"/>
          <w:sz w:val="28"/>
          <w:szCs w:val="28"/>
        </w:rPr>
        <w:t xml:space="preserve">Excess </w:t>
      </w:r>
      <w:r w:rsidR="00935DB6" w:rsidRPr="00A702FC">
        <w:rPr>
          <w:rFonts w:ascii="Arial" w:hAnsi="Arial" w:cs="Arial"/>
          <w:b/>
          <w:bCs/>
          <w:color w:val="4472C4" w:themeColor="accent5"/>
          <w:sz w:val="28"/>
          <w:szCs w:val="28"/>
        </w:rPr>
        <w:t>T</w:t>
      </w:r>
      <w:r w:rsidRPr="00A702FC">
        <w:rPr>
          <w:rFonts w:ascii="Arial" w:hAnsi="Arial" w:cs="Arial"/>
          <w:b/>
          <w:bCs/>
          <w:color w:val="4472C4" w:themeColor="accent5"/>
          <w:sz w:val="28"/>
          <w:szCs w:val="28"/>
        </w:rPr>
        <w:t xml:space="preserve">reatment Costs (ETCs) in </w:t>
      </w:r>
      <w:r w:rsidR="00935DB6" w:rsidRPr="00A702FC">
        <w:rPr>
          <w:rFonts w:ascii="Arial" w:hAnsi="Arial" w:cs="Arial"/>
          <w:b/>
          <w:bCs/>
          <w:color w:val="4472C4" w:themeColor="accent5"/>
          <w:sz w:val="28"/>
          <w:szCs w:val="28"/>
        </w:rPr>
        <w:t>r</w:t>
      </w:r>
      <w:r w:rsidRPr="00A702FC">
        <w:rPr>
          <w:rFonts w:ascii="Arial" w:hAnsi="Arial" w:cs="Arial"/>
          <w:b/>
          <w:bCs/>
          <w:color w:val="4472C4" w:themeColor="accent5"/>
          <w:sz w:val="28"/>
          <w:szCs w:val="28"/>
        </w:rPr>
        <w:t xml:space="preserve">esearch </w:t>
      </w:r>
    </w:p>
    <w:p w14:paraId="69C0C6EF" w14:textId="00D6DAEE" w:rsidR="009C4B83" w:rsidRDefault="004360AA" w:rsidP="00E34411">
      <w:pPr>
        <w:widowControl w:val="0"/>
        <w:tabs>
          <w:tab w:val="left" w:pos="820"/>
          <w:tab w:val="left" w:pos="821"/>
        </w:tabs>
        <w:autoSpaceDE w:val="0"/>
        <w:autoSpaceDN w:val="0"/>
        <w:spacing w:after="0" w:line="240" w:lineRule="auto"/>
        <w:ind w:right="124"/>
        <w:rPr>
          <w:rFonts w:ascii="Arial" w:hAnsi="Arial" w:cs="Arial"/>
        </w:rPr>
      </w:pPr>
      <w:r w:rsidRPr="00A702FC">
        <w:rPr>
          <w:rFonts w:ascii="Arial" w:hAnsi="Arial" w:cs="Arial"/>
        </w:rPr>
        <w:t xml:space="preserve">Funding of Excess Treatment Costs in research for National Institute for Health Research (NIHR) supported studies is managed </w:t>
      </w:r>
      <w:r w:rsidR="00D40B78">
        <w:rPr>
          <w:rFonts w:ascii="Arial" w:hAnsi="Arial" w:cs="Arial"/>
        </w:rPr>
        <w:t xml:space="preserve">via a </w:t>
      </w:r>
      <w:r w:rsidRPr="00A702FC">
        <w:rPr>
          <w:rFonts w:ascii="Arial" w:hAnsi="Arial" w:cs="Arial"/>
        </w:rPr>
        <w:t xml:space="preserve"> </w:t>
      </w:r>
      <w:r w:rsidR="00294B7A">
        <w:rPr>
          <w:rFonts w:ascii="Arial" w:hAnsi="Arial" w:cs="Arial"/>
          <w:color w:val="4F81BC"/>
        </w:rPr>
        <w:t>national management model for England</w:t>
      </w:r>
      <w:r w:rsidR="00294B7A" w:rsidRPr="00A702FC">
        <w:rPr>
          <w:rFonts w:ascii="Arial" w:hAnsi="Arial" w:cs="Arial"/>
        </w:rPr>
        <w:t xml:space="preserve"> </w:t>
      </w:r>
      <w:r w:rsidRPr="00A702FC">
        <w:rPr>
          <w:rFonts w:ascii="Arial" w:hAnsi="Arial" w:cs="Arial"/>
        </w:rPr>
        <w:t xml:space="preserve">introduced by NHS England in 2018.  </w:t>
      </w:r>
      <w:r w:rsidR="00D40B78">
        <w:rPr>
          <w:rFonts w:ascii="Arial" w:hAnsi="Arial" w:cs="Arial"/>
        </w:rPr>
        <w:t xml:space="preserve">Funding of ETCs for studies eligible for payment through this process fall outside the scope of this policy.  </w:t>
      </w:r>
      <w:r w:rsidRPr="00A702FC">
        <w:rPr>
          <w:rFonts w:ascii="Arial" w:hAnsi="Arial" w:cs="Arial"/>
        </w:rPr>
        <w:t>Further information can be found at the dedicated National Institute for Health Research</w:t>
      </w:r>
      <w:r w:rsidR="009C4B83">
        <w:rPr>
          <w:rFonts w:ascii="Arial" w:hAnsi="Arial" w:cs="Arial"/>
        </w:rPr>
        <w:t xml:space="preserve"> page</w:t>
      </w:r>
      <w:r w:rsidRPr="00A702FC">
        <w:rPr>
          <w:rFonts w:ascii="Arial" w:hAnsi="Arial" w:cs="Arial"/>
        </w:rPr>
        <w:t xml:space="preserve">: </w:t>
      </w:r>
      <w:hyperlink r:id="rId11" w:history="1">
        <w:r w:rsidRPr="00A702FC">
          <w:rPr>
            <w:rStyle w:val="Hyperlink"/>
            <w:rFonts w:ascii="Arial" w:hAnsi="Arial" w:cs="Arial"/>
          </w:rPr>
          <w:t>https://www.nihr.ac.uk/researchers/collaborations-services-and-support-for-your-research/run-your-study/excess-treatment-costs.htm</w:t>
        </w:r>
      </w:hyperlink>
      <w:r w:rsidRPr="00A702FC">
        <w:rPr>
          <w:rFonts w:ascii="Arial" w:hAnsi="Arial" w:cs="Arial"/>
        </w:rPr>
        <w:t xml:space="preserve"> .</w:t>
      </w:r>
    </w:p>
    <w:p w14:paraId="4CC13F17" w14:textId="77777777" w:rsidR="009C4B83" w:rsidRDefault="009C4B83" w:rsidP="00E34411">
      <w:pPr>
        <w:widowControl w:val="0"/>
        <w:tabs>
          <w:tab w:val="left" w:pos="820"/>
          <w:tab w:val="left" w:pos="821"/>
        </w:tabs>
        <w:autoSpaceDE w:val="0"/>
        <w:autoSpaceDN w:val="0"/>
        <w:spacing w:after="0" w:line="240" w:lineRule="auto"/>
        <w:ind w:right="124"/>
        <w:rPr>
          <w:rFonts w:ascii="Arial" w:hAnsi="Arial" w:cs="Arial"/>
        </w:rPr>
      </w:pPr>
    </w:p>
    <w:p w14:paraId="2E5B2BF0" w14:textId="5EF9F411" w:rsidR="004360AA" w:rsidRPr="00BB63E5" w:rsidRDefault="004360AA" w:rsidP="00E34411">
      <w:pPr>
        <w:widowControl w:val="0"/>
        <w:tabs>
          <w:tab w:val="left" w:pos="820"/>
          <w:tab w:val="left" w:pos="821"/>
        </w:tabs>
        <w:autoSpaceDE w:val="0"/>
        <w:autoSpaceDN w:val="0"/>
        <w:spacing w:after="0" w:line="240" w:lineRule="auto"/>
        <w:ind w:right="124"/>
        <w:rPr>
          <w:rFonts w:ascii="Arial" w:hAnsi="Arial" w:cs="Arial"/>
        </w:rPr>
      </w:pPr>
      <w:r w:rsidRPr="00A702FC">
        <w:rPr>
          <w:rFonts w:ascii="Arial" w:hAnsi="Arial" w:cs="Arial"/>
        </w:rPr>
        <w:t>ETCs for studies that are not NIHR supported</w:t>
      </w:r>
      <w:r w:rsidR="00033A60">
        <w:rPr>
          <w:rFonts w:ascii="Arial" w:hAnsi="Arial" w:cs="Arial"/>
        </w:rPr>
        <w:t xml:space="preserve"> or </w:t>
      </w:r>
      <w:r w:rsidR="00D40B78">
        <w:rPr>
          <w:rFonts w:ascii="Arial" w:hAnsi="Arial" w:cs="Arial"/>
        </w:rPr>
        <w:t xml:space="preserve">fall outside the scope of the national </w:t>
      </w:r>
      <w:r w:rsidR="00294B7A">
        <w:rPr>
          <w:rFonts w:ascii="Arial" w:hAnsi="Arial" w:cs="Arial"/>
        </w:rPr>
        <w:t>model for England</w:t>
      </w:r>
      <w:r w:rsidR="005F3CB9">
        <w:rPr>
          <w:rFonts w:ascii="Arial" w:hAnsi="Arial" w:cs="Arial"/>
        </w:rPr>
        <w:t xml:space="preserve"> </w:t>
      </w:r>
      <w:r w:rsidRPr="00A702FC">
        <w:rPr>
          <w:rFonts w:ascii="Arial" w:hAnsi="Arial" w:cs="Arial"/>
        </w:rPr>
        <w:t xml:space="preserve">will not be routinely funded by </w:t>
      </w:r>
      <w:r w:rsidR="00BD2A97">
        <w:rPr>
          <w:rFonts w:ascii="Arial" w:hAnsi="Arial" w:cs="Arial"/>
        </w:rPr>
        <w:t>Norfolk &amp; Waveney ICB</w:t>
      </w:r>
      <w:r w:rsidRPr="00A702FC">
        <w:rPr>
          <w:rFonts w:ascii="Arial" w:hAnsi="Arial" w:cs="Arial"/>
        </w:rPr>
        <w:t>.  When there is good reason for considering requests, these will be managed through the individual funding request policy and process.</w:t>
      </w:r>
      <w:r w:rsidR="006C40B4">
        <w:rPr>
          <w:rFonts w:ascii="Arial" w:hAnsi="Arial" w:cs="Arial"/>
        </w:rPr>
        <w:t xml:space="preserve"> (See 4.2 below)</w:t>
      </w:r>
    </w:p>
    <w:p w14:paraId="7AB150EE" w14:textId="45A0F456" w:rsidR="004360AA" w:rsidRDefault="004360AA" w:rsidP="004360AA">
      <w:pPr>
        <w:tabs>
          <w:tab w:val="left" w:pos="820"/>
          <w:tab w:val="left" w:pos="821"/>
        </w:tabs>
        <w:ind w:right="124"/>
        <w:rPr>
          <w:rFonts w:ascii="Arial" w:hAnsi="Arial" w:cs="Arial"/>
          <w:b/>
          <w:bCs/>
          <w:sz w:val="28"/>
          <w:szCs w:val="28"/>
        </w:rPr>
      </w:pPr>
    </w:p>
    <w:p w14:paraId="1EEE04D2" w14:textId="21A2BD23" w:rsidR="004360AA" w:rsidRPr="00935DB6" w:rsidRDefault="004360AA" w:rsidP="00BB63E5">
      <w:pPr>
        <w:pStyle w:val="ListParagraph"/>
        <w:numPr>
          <w:ilvl w:val="0"/>
          <w:numId w:val="22"/>
        </w:numPr>
        <w:tabs>
          <w:tab w:val="left" w:pos="820"/>
          <w:tab w:val="left" w:pos="821"/>
        </w:tabs>
        <w:ind w:right="124"/>
        <w:rPr>
          <w:rFonts w:ascii="Arial" w:hAnsi="Arial" w:cs="Arial"/>
          <w:b/>
          <w:bCs/>
          <w:color w:val="4472C4" w:themeColor="accent5"/>
          <w:sz w:val="28"/>
          <w:szCs w:val="28"/>
        </w:rPr>
      </w:pPr>
      <w:r w:rsidRPr="00935DB6">
        <w:rPr>
          <w:rFonts w:ascii="Arial" w:hAnsi="Arial" w:cs="Arial"/>
          <w:b/>
          <w:bCs/>
          <w:color w:val="4472C4" w:themeColor="accent5"/>
          <w:sz w:val="28"/>
          <w:szCs w:val="28"/>
        </w:rPr>
        <w:t xml:space="preserve">Commercially </w:t>
      </w:r>
      <w:r w:rsidR="00935DB6" w:rsidRPr="00935DB6">
        <w:rPr>
          <w:rFonts w:ascii="Arial" w:hAnsi="Arial" w:cs="Arial"/>
          <w:b/>
          <w:bCs/>
          <w:color w:val="4472C4" w:themeColor="accent5"/>
          <w:sz w:val="28"/>
          <w:szCs w:val="28"/>
        </w:rPr>
        <w:t>f</w:t>
      </w:r>
      <w:r w:rsidRPr="00935DB6">
        <w:rPr>
          <w:rFonts w:ascii="Arial" w:hAnsi="Arial" w:cs="Arial"/>
          <w:b/>
          <w:bCs/>
          <w:color w:val="4472C4" w:themeColor="accent5"/>
          <w:sz w:val="28"/>
          <w:szCs w:val="28"/>
        </w:rPr>
        <w:t xml:space="preserve">unded </w:t>
      </w:r>
      <w:r w:rsidR="00935DB6" w:rsidRPr="00935DB6">
        <w:rPr>
          <w:rFonts w:ascii="Arial" w:hAnsi="Arial" w:cs="Arial"/>
          <w:b/>
          <w:bCs/>
          <w:color w:val="4472C4" w:themeColor="accent5"/>
          <w:sz w:val="28"/>
          <w:szCs w:val="28"/>
        </w:rPr>
        <w:t>t</w:t>
      </w:r>
      <w:r w:rsidRPr="00935DB6">
        <w:rPr>
          <w:rFonts w:ascii="Arial" w:hAnsi="Arial" w:cs="Arial"/>
          <w:b/>
          <w:bCs/>
          <w:color w:val="4472C4" w:themeColor="accent5"/>
          <w:sz w:val="28"/>
          <w:szCs w:val="28"/>
        </w:rPr>
        <w:t>rials</w:t>
      </w:r>
    </w:p>
    <w:bookmarkEnd w:id="0"/>
    <w:bookmarkEnd w:id="2"/>
    <w:p w14:paraId="0B2FBD0B" w14:textId="4A1E9373" w:rsidR="004360AA" w:rsidRPr="00BB63E5" w:rsidRDefault="00BD2A97" w:rsidP="00E34411">
      <w:pPr>
        <w:widowControl w:val="0"/>
        <w:tabs>
          <w:tab w:val="left" w:pos="808"/>
          <w:tab w:val="left" w:pos="809"/>
        </w:tabs>
        <w:autoSpaceDE w:val="0"/>
        <w:autoSpaceDN w:val="0"/>
        <w:spacing w:after="0" w:line="240" w:lineRule="auto"/>
        <w:ind w:right="809"/>
        <w:rPr>
          <w:rFonts w:ascii="Arial" w:hAnsi="Arial" w:cs="Arial"/>
        </w:rPr>
      </w:pPr>
      <w:r>
        <w:rPr>
          <w:rFonts w:ascii="Arial" w:hAnsi="Arial" w:cs="Arial"/>
        </w:rPr>
        <w:t>Norfolk &amp; Waveney ICB</w:t>
      </w:r>
      <w:r w:rsidR="004360AA" w:rsidRPr="00BB63E5">
        <w:rPr>
          <w:rFonts w:ascii="Arial" w:hAnsi="Arial" w:cs="Arial"/>
        </w:rPr>
        <w:t xml:space="preserve"> position is that where a clinical trial of a treatment has been initiated and sponsored by a manufacturer of pharmaceuticals or medical devices, or by some other commercial organisation, responsibility for funding on-going access to the treatment rests with those parties.</w:t>
      </w:r>
    </w:p>
    <w:p w14:paraId="45786D9B" w14:textId="77777777" w:rsidR="00E34411" w:rsidRPr="00B6042F" w:rsidRDefault="00E34411" w:rsidP="004360AA">
      <w:pPr>
        <w:pStyle w:val="ListParagraph"/>
        <w:tabs>
          <w:tab w:val="left" w:pos="808"/>
          <w:tab w:val="left" w:pos="809"/>
        </w:tabs>
        <w:ind w:left="808" w:right="809"/>
      </w:pPr>
    </w:p>
    <w:p w14:paraId="298F15BC" w14:textId="71418424" w:rsidR="00935DB6" w:rsidRPr="00935DB6" w:rsidRDefault="004360AA" w:rsidP="00935DB6">
      <w:pPr>
        <w:pStyle w:val="ListParagraph"/>
        <w:widowControl w:val="0"/>
        <w:numPr>
          <w:ilvl w:val="0"/>
          <w:numId w:val="22"/>
        </w:numPr>
        <w:tabs>
          <w:tab w:val="left" w:pos="808"/>
          <w:tab w:val="left" w:pos="809"/>
        </w:tabs>
        <w:autoSpaceDE w:val="0"/>
        <w:autoSpaceDN w:val="0"/>
        <w:spacing w:after="0" w:line="240" w:lineRule="auto"/>
        <w:ind w:right="809"/>
        <w:rPr>
          <w:b/>
          <w:bCs/>
          <w:color w:val="4472C4" w:themeColor="accent5"/>
          <w:sz w:val="28"/>
          <w:szCs w:val="28"/>
        </w:rPr>
      </w:pPr>
      <w:r w:rsidRPr="00935DB6">
        <w:rPr>
          <w:rFonts w:ascii="Arial" w:hAnsi="Arial" w:cs="Arial"/>
          <w:b/>
          <w:bCs/>
          <w:color w:val="4472C4" w:themeColor="accent5"/>
          <w:sz w:val="28"/>
          <w:szCs w:val="28"/>
        </w:rPr>
        <w:t>Non-</w:t>
      </w:r>
      <w:r w:rsidR="00935DB6" w:rsidRPr="00935DB6">
        <w:rPr>
          <w:rFonts w:ascii="Arial" w:hAnsi="Arial" w:cs="Arial"/>
          <w:b/>
          <w:bCs/>
          <w:color w:val="4472C4" w:themeColor="accent5"/>
          <w:sz w:val="28"/>
          <w:szCs w:val="28"/>
        </w:rPr>
        <w:t>c</w:t>
      </w:r>
      <w:r w:rsidRPr="00935DB6">
        <w:rPr>
          <w:rFonts w:ascii="Arial" w:hAnsi="Arial" w:cs="Arial"/>
          <w:b/>
          <w:bCs/>
          <w:color w:val="4472C4" w:themeColor="accent5"/>
          <w:sz w:val="28"/>
          <w:szCs w:val="28"/>
        </w:rPr>
        <w:t xml:space="preserve">ommercially </w:t>
      </w:r>
      <w:r w:rsidR="00935DB6" w:rsidRPr="00935DB6">
        <w:rPr>
          <w:rFonts w:ascii="Arial" w:hAnsi="Arial" w:cs="Arial"/>
          <w:b/>
          <w:bCs/>
          <w:color w:val="4472C4" w:themeColor="accent5"/>
          <w:sz w:val="28"/>
          <w:szCs w:val="28"/>
        </w:rPr>
        <w:t>f</w:t>
      </w:r>
      <w:r w:rsidRPr="00935DB6">
        <w:rPr>
          <w:rFonts w:ascii="Arial" w:hAnsi="Arial" w:cs="Arial"/>
          <w:b/>
          <w:bCs/>
          <w:color w:val="4472C4" w:themeColor="accent5"/>
          <w:sz w:val="28"/>
          <w:szCs w:val="28"/>
        </w:rPr>
        <w:t xml:space="preserve">unded </w:t>
      </w:r>
      <w:r w:rsidR="00935DB6" w:rsidRPr="00935DB6">
        <w:rPr>
          <w:rFonts w:ascii="Arial" w:hAnsi="Arial" w:cs="Arial"/>
          <w:b/>
          <w:bCs/>
          <w:color w:val="4472C4" w:themeColor="accent5"/>
          <w:sz w:val="28"/>
          <w:szCs w:val="28"/>
        </w:rPr>
        <w:t>t</w:t>
      </w:r>
      <w:r w:rsidRPr="00935DB6">
        <w:rPr>
          <w:rFonts w:ascii="Arial" w:hAnsi="Arial" w:cs="Arial"/>
          <w:b/>
          <w:bCs/>
          <w:color w:val="4472C4" w:themeColor="accent5"/>
          <w:sz w:val="28"/>
          <w:szCs w:val="28"/>
        </w:rPr>
        <w:t>rials</w:t>
      </w:r>
      <w:r w:rsidRPr="00935DB6">
        <w:rPr>
          <w:b/>
          <w:bCs/>
          <w:color w:val="4472C4" w:themeColor="accent5"/>
          <w:sz w:val="28"/>
          <w:szCs w:val="28"/>
        </w:rPr>
        <w:t xml:space="preserve"> </w:t>
      </w:r>
    </w:p>
    <w:p w14:paraId="00F34A30" w14:textId="77777777" w:rsidR="00E34411" w:rsidRDefault="00E34411" w:rsidP="00935DB6">
      <w:pPr>
        <w:pStyle w:val="ListParagraph"/>
        <w:widowControl w:val="0"/>
        <w:tabs>
          <w:tab w:val="left" w:pos="808"/>
          <w:tab w:val="left" w:pos="809"/>
        </w:tabs>
        <w:autoSpaceDE w:val="0"/>
        <w:autoSpaceDN w:val="0"/>
        <w:spacing w:after="0" w:line="240" w:lineRule="auto"/>
        <w:ind w:left="460" w:right="809"/>
        <w:rPr>
          <w:rFonts w:ascii="Arial" w:hAnsi="Arial" w:cs="Arial"/>
        </w:rPr>
      </w:pPr>
    </w:p>
    <w:p w14:paraId="358C7EF8" w14:textId="29A08F20" w:rsidR="008E26FE" w:rsidRPr="0011416A" w:rsidRDefault="008E26FE" w:rsidP="009C4B83">
      <w:pPr>
        <w:pStyle w:val="ListParagraph"/>
        <w:widowControl w:val="0"/>
        <w:tabs>
          <w:tab w:val="left" w:pos="808"/>
          <w:tab w:val="left" w:pos="809"/>
        </w:tabs>
        <w:autoSpaceDE w:val="0"/>
        <w:autoSpaceDN w:val="0"/>
        <w:spacing w:after="0" w:line="240" w:lineRule="auto"/>
        <w:ind w:left="100" w:right="809"/>
        <w:jc w:val="both"/>
        <w:rPr>
          <w:rFonts w:ascii="Arial" w:hAnsi="Arial" w:cs="Arial"/>
          <w:b/>
          <w:bCs/>
        </w:rPr>
      </w:pPr>
      <w:r w:rsidRPr="0011416A">
        <w:rPr>
          <w:rFonts w:ascii="Arial" w:hAnsi="Arial" w:cs="Arial"/>
          <w:b/>
          <w:bCs/>
        </w:rPr>
        <w:t>4</w:t>
      </w:r>
      <w:r>
        <w:rPr>
          <w:rFonts w:ascii="Arial" w:hAnsi="Arial" w:cs="Arial"/>
          <w:b/>
          <w:bCs/>
        </w:rPr>
        <w:t>.1</w:t>
      </w:r>
      <w:r w:rsidRPr="0011416A">
        <w:rPr>
          <w:rFonts w:ascii="Arial" w:hAnsi="Arial" w:cs="Arial"/>
          <w:b/>
          <w:bCs/>
        </w:rPr>
        <w:t xml:space="preserve"> Ongoing access to treatment following a clinical trial</w:t>
      </w:r>
    </w:p>
    <w:p w14:paraId="794A5FB6" w14:textId="77777777" w:rsidR="008E26FE" w:rsidRDefault="008E26FE" w:rsidP="009C4B83">
      <w:pPr>
        <w:pStyle w:val="ListParagraph"/>
        <w:widowControl w:val="0"/>
        <w:tabs>
          <w:tab w:val="left" w:pos="808"/>
          <w:tab w:val="left" w:pos="809"/>
        </w:tabs>
        <w:autoSpaceDE w:val="0"/>
        <w:autoSpaceDN w:val="0"/>
        <w:spacing w:after="0" w:line="240" w:lineRule="auto"/>
        <w:ind w:left="100" w:right="809"/>
        <w:jc w:val="both"/>
        <w:rPr>
          <w:rFonts w:ascii="Arial" w:hAnsi="Arial" w:cs="Arial"/>
        </w:rPr>
      </w:pPr>
    </w:p>
    <w:p w14:paraId="6F2E4E2A" w14:textId="086A9F65" w:rsidR="004360AA" w:rsidRPr="00935DB6" w:rsidRDefault="00BD2A97" w:rsidP="0011416A">
      <w:pPr>
        <w:pStyle w:val="ListParagraph"/>
        <w:widowControl w:val="0"/>
        <w:tabs>
          <w:tab w:val="left" w:pos="808"/>
          <w:tab w:val="left" w:pos="809"/>
        </w:tabs>
        <w:autoSpaceDE w:val="0"/>
        <w:autoSpaceDN w:val="0"/>
        <w:spacing w:after="0" w:line="240" w:lineRule="auto"/>
        <w:ind w:left="100" w:right="809"/>
        <w:jc w:val="both"/>
        <w:rPr>
          <w:rFonts w:ascii="Arial" w:hAnsi="Arial" w:cs="Arial"/>
        </w:rPr>
      </w:pPr>
      <w:r>
        <w:rPr>
          <w:rFonts w:ascii="Arial" w:hAnsi="Arial" w:cs="Arial"/>
        </w:rPr>
        <w:t>Norfolk &amp; Waveney ICB</w:t>
      </w:r>
      <w:r w:rsidR="004360AA" w:rsidRPr="00935DB6">
        <w:rPr>
          <w:rFonts w:ascii="Arial" w:hAnsi="Arial" w:cs="Arial"/>
        </w:rPr>
        <w:t xml:space="preserve"> will consider funding on-going access to the treatment given in a trial in circumstances </w:t>
      </w:r>
      <w:proofErr w:type="gramStart"/>
      <w:r w:rsidR="004360AA" w:rsidRPr="00935DB6">
        <w:rPr>
          <w:rFonts w:ascii="Arial" w:hAnsi="Arial" w:cs="Arial"/>
        </w:rPr>
        <w:t>where;</w:t>
      </w:r>
      <w:proofErr w:type="gramEnd"/>
    </w:p>
    <w:p w14:paraId="7866DCCA" w14:textId="77777777" w:rsidR="00B6042F" w:rsidRPr="00BB63E5" w:rsidRDefault="00B6042F" w:rsidP="00B6042F">
      <w:pPr>
        <w:pStyle w:val="ListParagraph"/>
        <w:widowControl w:val="0"/>
        <w:autoSpaceDE w:val="0"/>
        <w:autoSpaceDN w:val="0"/>
        <w:spacing w:after="0" w:line="240" w:lineRule="auto"/>
        <w:contextualSpacing w:val="0"/>
        <w:rPr>
          <w:rFonts w:ascii="Arial" w:hAnsi="Arial" w:cs="Arial"/>
        </w:rPr>
      </w:pPr>
    </w:p>
    <w:p w14:paraId="5E799DCA" w14:textId="77777777" w:rsidR="004360AA" w:rsidRPr="00BB63E5" w:rsidRDefault="004360AA" w:rsidP="008558A9">
      <w:pPr>
        <w:pStyle w:val="ListParagraph"/>
        <w:widowControl w:val="0"/>
        <w:numPr>
          <w:ilvl w:val="0"/>
          <w:numId w:val="10"/>
        </w:numPr>
        <w:autoSpaceDE w:val="0"/>
        <w:autoSpaceDN w:val="0"/>
        <w:spacing w:after="0" w:line="240" w:lineRule="auto"/>
        <w:ind w:right="809"/>
        <w:rPr>
          <w:rFonts w:ascii="Arial" w:hAnsi="Arial" w:cs="Arial"/>
        </w:rPr>
      </w:pPr>
      <w:r w:rsidRPr="00BB63E5">
        <w:rPr>
          <w:rFonts w:ascii="Arial" w:hAnsi="Arial" w:cs="Arial"/>
        </w:rPr>
        <w:t>The clinical trial is to be wholly funded by non-commercial bodies and is supported by the NIHR;</w:t>
      </w:r>
    </w:p>
    <w:p w14:paraId="7AA72406" w14:textId="4D999209" w:rsidR="004360AA" w:rsidRPr="00BB63E5" w:rsidRDefault="004360AA" w:rsidP="008558A9">
      <w:pPr>
        <w:pStyle w:val="ListParagraph"/>
        <w:widowControl w:val="0"/>
        <w:numPr>
          <w:ilvl w:val="0"/>
          <w:numId w:val="10"/>
        </w:numPr>
        <w:autoSpaceDE w:val="0"/>
        <w:autoSpaceDN w:val="0"/>
        <w:spacing w:after="0" w:line="240" w:lineRule="auto"/>
        <w:ind w:right="809"/>
        <w:rPr>
          <w:rFonts w:ascii="Arial" w:hAnsi="Arial" w:cs="Arial"/>
        </w:rPr>
      </w:pPr>
      <w:r w:rsidRPr="00BB63E5">
        <w:rPr>
          <w:rFonts w:ascii="Arial" w:hAnsi="Arial" w:cs="Arial"/>
        </w:rPr>
        <w:t xml:space="preserve">and the request is made, and written agreement reached </w:t>
      </w:r>
      <w:r w:rsidRPr="00BB63E5">
        <w:rPr>
          <w:rFonts w:ascii="Arial" w:hAnsi="Arial" w:cs="Arial"/>
          <w:b/>
          <w:bCs/>
        </w:rPr>
        <w:t>before</w:t>
      </w:r>
      <w:r w:rsidRPr="00BB63E5">
        <w:rPr>
          <w:rFonts w:ascii="Arial" w:hAnsi="Arial" w:cs="Arial"/>
        </w:rPr>
        <w:t xml:space="preserve"> the clinical trial commences.</w:t>
      </w:r>
      <w:r w:rsidRPr="00BB63E5">
        <w:rPr>
          <w:rFonts w:ascii="Arial" w:hAnsi="Arial" w:cs="Arial"/>
        </w:rPr>
        <w:br/>
      </w:r>
    </w:p>
    <w:p w14:paraId="791DEB9E" w14:textId="77777777" w:rsidR="004360AA" w:rsidRPr="00BB63E5" w:rsidRDefault="004360AA" w:rsidP="00E34411">
      <w:pPr>
        <w:widowControl w:val="0"/>
        <w:tabs>
          <w:tab w:val="left" w:pos="808"/>
          <w:tab w:val="left" w:pos="809"/>
        </w:tabs>
        <w:autoSpaceDE w:val="0"/>
        <w:autoSpaceDN w:val="0"/>
        <w:spacing w:after="0" w:line="240" w:lineRule="auto"/>
        <w:ind w:right="809"/>
        <w:rPr>
          <w:rFonts w:ascii="Arial" w:hAnsi="Arial" w:cs="Arial"/>
        </w:rPr>
      </w:pPr>
      <w:r w:rsidRPr="00BB63E5">
        <w:rPr>
          <w:rFonts w:ascii="Arial" w:hAnsi="Arial" w:cs="Arial"/>
        </w:rPr>
        <w:t>Treatment will be funded only for as long as the patient’s supervising clinician agrees that the treatment is clinically appropriate, and that the treatment is meeting the identified clinical outcomes.</w:t>
      </w:r>
      <w:r w:rsidRPr="00BB63E5">
        <w:rPr>
          <w:rFonts w:ascii="Arial" w:hAnsi="Arial" w:cs="Arial"/>
        </w:rPr>
        <w:br/>
      </w:r>
    </w:p>
    <w:p w14:paraId="0BE50CE7" w14:textId="47CC9B63" w:rsidR="004360AA" w:rsidRPr="00BB63E5" w:rsidRDefault="00BD2A97" w:rsidP="00B6042F">
      <w:pPr>
        <w:widowControl w:val="0"/>
        <w:tabs>
          <w:tab w:val="left" w:pos="808"/>
          <w:tab w:val="left" w:pos="809"/>
        </w:tabs>
        <w:autoSpaceDE w:val="0"/>
        <w:autoSpaceDN w:val="0"/>
        <w:spacing w:after="0" w:line="240" w:lineRule="auto"/>
        <w:ind w:right="809"/>
        <w:rPr>
          <w:rFonts w:ascii="Arial" w:hAnsi="Arial" w:cs="Arial"/>
        </w:rPr>
      </w:pPr>
      <w:r>
        <w:rPr>
          <w:rFonts w:ascii="Arial" w:hAnsi="Arial" w:cs="Arial"/>
        </w:rPr>
        <w:t>Norfolk &amp; Waveney ICB</w:t>
      </w:r>
      <w:r w:rsidR="004360AA" w:rsidRPr="00BB63E5">
        <w:rPr>
          <w:rFonts w:ascii="Arial" w:hAnsi="Arial" w:cs="Arial"/>
        </w:rPr>
        <w:t xml:space="preserve"> expects that all research organisations planning a </w:t>
      </w:r>
      <w:proofErr w:type="gramStart"/>
      <w:r w:rsidR="004360AA" w:rsidRPr="00BB63E5">
        <w:rPr>
          <w:rFonts w:ascii="Arial" w:hAnsi="Arial" w:cs="Arial"/>
        </w:rPr>
        <w:t>trial;</w:t>
      </w:r>
      <w:proofErr w:type="gramEnd"/>
    </w:p>
    <w:p w14:paraId="6D2CC12C" w14:textId="77777777" w:rsidR="004360AA" w:rsidRPr="00BB63E5" w:rsidRDefault="004360AA" w:rsidP="004360AA">
      <w:pPr>
        <w:pStyle w:val="ListParagraph"/>
        <w:tabs>
          <w:tab w:val="left" w:pos="808"/>
          <w:tab w:val="left" w:pos="809"/>
        </w:tabs>
        <w:ind w:left="808" w:right="809"/>
        <w:rPr>
          <w:rFonts w:ascii="Arial" w:hAnsi="Arial" w:cs="Arial"/>
        </w:rPr>
      </w:pPr>
    </w:p>
    <w:p w14:paraId="68FBAB38" w14:textId="0B7F7487" w:rsidR="004360AA" w:rsidRPr="00BB63E5" w:rsidRDefault="004360AA" w:rsidP="008558A9">
      <w:pPr>
        <w:pStyle w:val="ListParagraph"/>
        <w:widowControl w:val="0"/>
        <w:numPr>
          <w:ilvl w:val="0"/>
          <w:numId w:val="12"/>
        </w:numPr>
        <w:tabs>
          <w:tab w:val="left" w:pos="808"/>
          <w:tab w:val="left" w:pos="809"/>
        </w:tabs>
        <w:autoSpaceDE w:val="0"/>
        <w:autoSpaceDN w:val="0"/>
        <w:spacing w:after="0" w:line="240" w:lineRule="auto"/>
        <w:ind w:right="809"/>
        <w:rPr>
          <w:rFonts w:ascii="Arial" w:hAnsi="Arial" w:cs="Arial"/>
        </w:rPr>
      </w:pPr>
      <w:r w:rsidRPr="00BB63E5">
        <w:rPr>
          <w:rFonts w:ascii="Arial" w:hAnsi="Arial" w:cs="Arial"/>
        </w:rPr>
        <w:t xml:space="preserve">define and agree the arrangements for funding the treatment after the </w:t>
      </w:r>
      <w:r w:rsidR="008E26FE">
        <w:rPr>
          <w:rFonts w:ascii="Arial" w:hAnsi="Arial" w:cs="Arial"/>
        </w:rPr>
        <w:t xml:space="preserve">end of the </w:t>
      </w:r>
      <w:r w:rsidRPr="00BB63E5">
        <w:rPr>
          <w:rFonts w:ascii="Arial" w:hAnsi="Arial" w:cs="Arial"/>
        </w:rPr>
        <w:t>trial for those patients where the trial has shown a clinical benefit</w:t>
      </w:r>
      <w:r w:rsidR="008E26FE">
        <w:rPr>
          <w:rFonts w:ascii="Arial" w:hAnsi="Arial" w:cs="Arial"/>
        </w:rPr>
        <w:t>.  This is</w:t>
      </w:r>
      <w:r w:rsidR="008E26FE" w:rsidRPr="00BB63E5">
        <w:rPr>
          <w:rFonts w:ascii="Arial" w:hAnsi="Arial" w:cs="Arial"/>
        </w:rPr>
        <w:t xml:space="preserve"> </w:t>
      </w:r>
      <w:r w:rsidRPr="00BB63E5">
        <w:rPr>
          <w:rFonts w:ascii="Arial" w:hAnsi="Arial" w:cs="Arial"/>
        </w:rPr>
        <w:t xml:space="preserve">in line with the ethical approval requirements of the Health Research Authority (HRA) for clinical trials </w:t>
      </w:r>
      <w:hyperlink r:id="rId12" w:history="1">
        <w:r w:rsidRPr="00BB63E5">
          <w:rPr>
            <w:rStyle w:val="Hyperlink"/>
            <w:rFonts w:ascii="Arial" w:hAnsi="Arial" w:cs="Arial"/>
          </w:rPr>
          <w:t>https://www.hra.nhs.uk/</w:t>
        </w:r>
      </w:hyperlink>
    </w:p>
    <w:p w14:paraId="19E47576" w14:textId="622D1385" w:rsidR="004360AA" w:rsidRPr="00BB63E5" w:rsidRDefault="004360AA" w:rsidP="004360AA">
      <w:pPr>
        <w:pStyle w:val="ListParagraph"/>
        <w:tabs>
          <w:tab w:val="left" w:pos="808"/>
          <w:tab w:val="left" w:pos="809"/>
        </w:tabs>
        <w:ind w:left="808" w:right="809"/>
        <w:rPr>
          <w:rFonts w:ascii="Arial" w:hAnsi="Arial" w:cs="Arial"/>
        </w:rPr>
      </w:pPr>
    </w:p>
    <w:p w14:paraId="6C7AFBD8" w14:textId="33A618D0" w:rsidR="004360AA" w:rsidRPr="00BB63E5" w:rsidRDefault="004360AA" w:rsidP="008558A9">
      <w:pPr>
        <w:pStyle w:val="ListParagraph"/>
        <w:widowControl w:val="0"/>
        <w:numPr>
          <w:ilvl w:val="0"/>
          <w:numId w:val="12"/>
        </w:numPr>
        <w:tabs>
          <w:tab w:val="left" w:pos="808"/>
          <w:tab w:val="left" w:pos="809"/>
        </w:tabs>
        <w:autoSpaceDE w:val="0"/>
        <w:autoSpaceDN w:val="0"/>
        <w:spacing w:after="0" w:line="240" w:lineRule="auto"/>
        <w:ind w:right="809"/>
        <w:rPr>
          <w:rFonts w:ascii="Arial" w:hAnsi="Arial" w:cs="Arial"/>
        </w:rPr>
      </w:pPr>
      <w:r w:rsidRPr="00BB63E5">
        <w:rPr>
          <w:rFonts w:ascii="Arial" w:hAnsi="Arial" w:cs="Arial"/>
        </w:rPr>
        <w:t xml:space="preserve">Ensure patients participating in a trial are made fully aware of the arrangements for when the trial concludes as part of the process of giving their consent to participate in the trial. This includes making patients aware of whether or in what circumstances they can expect to continue to receive treatment after the end of the trial, in line with the HRA guidance </w:t>
      </w:r>
      <w:hyperlink r:id="rId13" w:history="1">
        <w:r w:rsidRPr="00BB63E5">
          <w:rPr>
            <w:rStyle w:val="Hyperlink"/>
            <w:rFonts w:ascii="Arial" w:hAnsi="Arial" w:cs="Arial"/>
          </w:rPr>
          <w:t>http://www.hra-decisiontools.org.uk/consent/content-sheet-involved.html</w:t>
        </w:r>
      </w:hyperlink>
      <w:r w:rsidRPr="00BB63E5">
        <w:rPr>
          <w:rFonts w:ascii="Arial" w:hAnsi="Arial" w:cs="Arial"/>
        </w:rPr>
        <w:t xml:space="preserve"> on the information to be provided to participants taking part in a research.</w:t>
      </w:r>
    </w:p>
    <w:p w14:paraId="7C78F58B" w14:textId="2CD2D17E" w:rsidR="00A56716" w:rsidRPr="00BB63E5" w:rsidRDefault="004360AA" w:rsidP="00A56716">
      <w:pPr>
        <w:tabs>
          <w:tab w:val="left" w:pos="808"/>
          <w:tab w:val="left" w:pos="809"/>
        </w:tabs>
        <w:ind w:right="809"/>
        <w:rPr>
          <w:rFonts w:ascii="Arial" w:hAnsi="Arial" w:cs="Arial"/>
        </w:rPr>
      </w:pPr>
      <w:r w:rsidRPr="00B6042F">
        <w:br/>
      </w:r>
      <w:r w:rsidRPr="00BB63E5">
        <w:rPr>
          <w:rFonts w:ascii="Arial" w:hAnsi="Arial" w:cs="Arial"/>
        </w:rPr>
        <w:t xml:space="preserve">Where commissioning responsibility for a patient on a </w:t>
      </w:r>
      <w:proofErr w:type="gramStart"/>
      <w:r w:rsidRPr="00BB63E5">
        <w:rPr>
          <w:rFonts w:ascii="Arial" w:hAnsi="Arial" w:cs="Arial"/>
        </w:rPr>
        <w:t>clinical trial transfers</w:t>
      </w:r>
      <w:proofErr w:type="gramEnd"/>
      <w:r w:rsidRPr="00BB63E5">
        <w:rPr>
          <w:rFonts w:ascii="Arial" w:hAnsi="Arial" w:cs="Arial"/>
        </w:rPr>
        <w:t xml:space="preserve"> to </w:t>
      </w:r>
      <w:r w:rsidR="00BD2A97">
        <w:rPr>
          <w:rFonts w:ascii="Arial" w:hAnsi="Arial" w:cs="Arial"/>
        </w:rPr>
        <w:t>Norfolk &amp; Waveney ICB</w:t>
      </w:r>
      <w:r w:rsidRPr="00BB63E5">
        <w:rPr>
          <w:rFonts w:ascii="Arial" w:hAnsi="Arial" w:cs="Arial"/>
        </w:rPr>
        <w:t xml:space="preserve"> from another NHS commissioner, and there is written evidence of an agreement to fund on-going treatment costs</w:t>
      </w:r>
      <w:r w:rsidR="008E26FE">
        <w:rPr>
          <w:rFonts w:ascii="Arial" w:hAnsi="Arial" w:cs="Arial"/>
        </w:rPr>
        <w:t xml:space="preserve"> </w:t>
      </w:r>
      <w:r w:rsidRPr="00BB63E5">
        <w:rPr>
          <w:rFonts w:ascii="Arial" w:hAnsi="Arial" w:cs="Arial"/>
        </w:rPr>
        <w:t xml:space="preserve"> (after completion of </w:t>
      </w:r>
      <w:r w:rsidR="006026ED">
        <w:rPr>
          <w:rFonts w:ascii="Arial" w:hAnsi="Arial" w:cs="Arial"/>
        </w:rPr>
        <w:t>the</w:t>
      </w:r>
      <w:r w:rsidR="006026ED" w:rsidRPr="00BB63E5">
        <w:rPr>
          <w:rFonts w:ascii="Arial" w:hAnsi="Arial" w:cs="Arial"/>
        </w:rPr>
        <w:t xml:space="preserve"> </w:t>
      </w:r>
      <w:r w:rsidRPr="00BB63E5">
        <w:rPr>
          <w:rFonts w:ascii="Arial" w:hAnsi="Arial" w:cs="Arial"/>
        </w:rPr>
        <w:t xml:space="preserve">trial) by the previous NHS commissioner, </w:t>
      </w:r>
      <w:r w:rsidR="00BD2A97">
        <w:rPr>
          <w:rFonts w:ascii="Arial" w:hAnsi="Arial" w:cs="Arial"/>
        </w:rPr>
        <w:t>Norfolk &amp; Waveney ICB</w:t>
      </w:r>
      <w:r w:rsidRPr="00BB63E5">
        <w:rPr>
          <w:rFonts w:ascii="Arial" w:hAnsi="Arial" w:cs="Arial"/>
        </w:rPr>
        <w:t xml:space="preserve"> will fund those commitments made by the patient’s previous NHS commissioner.  This only applies to non-commercial trials supported by the NIHR</w:t>
      </w:r>
      <w:r w:rsidR="00113D33">
        <w:rPr>
          <w:rFonts w:ascii="Arial" w:hAnsi="Arial" w:cs="Arial"/>
        </w:rPr>
        <w:t>.</w:t>
      </w:r>
      <w:r w:rsidRPr="00BB63E5">
        <w:rPr>
          <w:rFonts w:ascii="Arial" w:hAnsi="Arial" w:cs="Arial"/>
        </w:rPr>
        <w:br/>
      </w:r>
    </w:p>
    <w:p w14:paraId="2E35BE7F" w14:textId="5C64C35C" w:rsidR="004360AA" w:rsidRPr="00BB63E5" w:rsidRDefault="004360AA" w:rsidP="00E34411">
      <w:pPr>
        <w:tabs>
          <w:tab w:val="left" w:pos="808"/>
          <w:tab w:val="left" w:pos="809"/>
        </w:tabs>
        <w:ind w:right="809"/>
        <w:rPr>
          <w:rFonts w:ascii="Arial" w:hAnsi="Arial" w:cs="Arial"/>
        </w:rPr>
      </w:pPr>
      <w:r w:rsidRPr="00BB63E5">
        <w:rPr>
          <w:rFonts w:ascii="Arial" w:hAnsi="Arial" w:cs="Arial"/>
        </w:rPr>
        <w:t xml:space="preserve">The provider of the trial treatment and the clinician should take care to ensure that participants in a trial do not assume that </w:t>
      </w:r>
      <w:r w:rsidR="00BD2A97">
        <w:rPr>
          <w:rFonts w:ascii="Arial" w:hAnsi="Arial" w:cs="Arial"/>
        </w:rPr>
        <w:t xml:space="preserve">Norfolk &amp; Waveney ICB </w:t>
      </w:r>
      <w:r w:rsidRPr="00BB63E5">
        <w:rPr>
          <w:rFonts w:ascii="Arial" w:hAnsi="Arial" w:cs="Arial"/>
        </w:rPr>
        <w:t xml:space="preserve">will or might fund ongoing treatment once the trial has completed, unless </w:t>
      </w:r>
      <w:r w:rsidR="00BD2A97">
        <w:rPr>
          <w:rFonts w:ascii="Arial" w:hAnsi="Arial" w:cs="Arial"/>
        </w:rPr>
        <w:t>Norfolk &amp; Waveney ICB</w:t>
      </w:r>
      <w:r w:rsidRPr="00BB63E5">
        <w:rPr>
          <w:rFonts w:ascii="Arial" w:hAnsi="Arial" w:cs="Arial"/>
        </w:rPr>
        <w:t xml:space="preserve"> has given a prior written commitment to provide such funding which would apply to that participant</w:t>
      </w:r>
      <w:r w:rsidRPr="00BB63E5">
        <w:rPr>
          <w:rFonts w:ascii="Arial" w:hAnsi="Arial" w:cs="Arial"/>
        </w:rPr>
        <w:br/>
      </w:r>
    </w:p>
    <w:p w14:paraId="73F07B7C" w14:textId="7ACB8EEE" w:rsidR="00877B92" w:rsidRDefault="004360AA" w:rsidP="00B6042F">
      <w:pPr>
        <w:widowControl w:val="0"/>
        <w:tabs>
          <w:tab w:val="left" w:pos="808"/>
          <w:tab w:val="left" w:pos="809"/>
        </w:tabs>
        <w:autoSpaceDE w:val="0"/>
        <w:autoSpaceDN w:val="0"/>
        <w:spacing w:after="0" w:line="240" w:lineRule="auto"/>
        <w:ind w:right="809"/>
        <w:rPr>
          <w:rFonts w:ascii="Arial" w:hAnsi="Arial" w:cs="Arial"/>
        </w:rPr>
      </w:pPr>
      <w:r w:rsidRPr="00BB63E5">
        <w:rPr>
          <w:rFonts w:ascii="Arial" w:hAnsi="Arial" w:cs="Arial"/>
        </w:rPr>
        <w:t xml:space="preserve">All requests for on-going funding following a clinical trial shall be made via </w:t>
      </w:r>
      <w:r w:rsidR="008E26FE">
        <w:rPr>
          <w:rFonts w:ascii="Arial" w:hAnsi="Arial" w:cs="Arial"/>
        </w:rPr>
        <w:t xml:space="preserve">the </w:t>
      </w:r>
      <w:r w:rsidRPr="00BB63E5">
        <w:rPr>
          <w:rFonts w:ascii="Arial" w:hAnsi="Arial" w:cs="Arial"/>
        </w:rPr>
        <w:t xml:space="preserve">IFR process </w:t>
      </w:r>
      <w:r w:rsidRPr="00BB6C94">
        <w:rPr>
          <w:rFonts w:ascii="Arial" w:hAnsi="Arial" w:cs="Arial"/>
          <w:b/>
          <w:bCs/>
        </w:rPr>
        <w:t>before</w:t>
      </w:r>
      <w:r w:rsidRPr="00BB63E5">
        <w:rPr>
          <w:rFonts w:ascii="Arial" w:hAnsi="Arial" w:cs="Arial"/>
        </w:rPr>
        <w:t xml:space="preserve"> the trial commences.  </w:t>
      </w:r>
      <w:r w:rsidRPr="00BB63E5">
        <w:rPr>
          <w:rFonts w:ascii="Arial" w:hAnsi="Arial" w:cs="Arial"/>
        </w:rPr>
        <w:br/>
      </w:r>
    </w:p>
    <w:p w14:paraId="70164B8B" w14:textId="129AC19D" w:rsidR="006C40B4" w:rsidRDefault="006C40B4" w:rsidP="008E26FE">
      <w:pPr>
        <w:pStyle w:val="ListParagraph"/>
        <w:widowControl w:val="0"/>
        <w:tabs>
          <w:tab w:val="left" w:pos="808"/>
          <w:tab w:val="left" w:pos="809"/>
        </w:tabs>
        <w:autoSpaceDE w:val="0"/>
        <w:autoSpaceDN w:val="0"/>
        <w:spacing w:after="0" w:line="240" w:lineRule="auto"/>
        <w:ind w:left="100" w:right="809"/>
        <w:jc w:val="both"/>
        <w:rPr>
          <w:rFonts w:ascii="Arial" w:hAnsi="Arial" w:cs="Arial"/>
          <w:b/>
          <w:bCs/>
        </w:rPr>
      </w:pPr>
      <w:r>
        <w:rPr>
          <w:rFonts w:ascii="Arial" w:hAnsi="Arial" w:cs="Arial"/>
          <w:b/>
          <w:bCs/>
        </w:rPr>
        <w:lastRenderedPageBreak/>
        <w:t xml:space="preserve">4.2 </w:t>
      </w:r>
      <w:r w:rsidR="003F62AF">
        <w:rPr>
          <w:rFonts w:ascii="Arial" w:hAnsi="Arial" w:cs="Arial"/>
          <w:b/>
          <w:bCs/>
        </w:rPr>
        <w:t>Funding Excess Treatment Costs (ETCs)</w:t>
      </w:r>
      <w:r w:rsidRPr="0011416A">
        <w:rPr>
          <w:rFonts w:ascii="Arial" w:hAnsi="Arial" w:cs="Arial"/>
          <w:b/>
          <w:bCs/>
        </w:rPr>
        <w:t xml:space="preserve"> for studies that are not NIHR supported or fall outside the scope of the national model for </w:t>
      </w:r>
      <w:proofErr w:type="gramStart"/>
      <w:r w:rsidRPr="0011416A">
        <w:rPr>
          <w:rFonts w:ascii="Arial" w:hAnsi="Arial" w:cs="Arial"/>
          <w:b/>
          <w:bCs/>
        </w:rPr>
        <w:t>England</w:t>
      </w:r>
      <w:proofErr w:type="gramEnd"/>
    </w:p>
    <w:p w14:paraId="6C5E9739" w14:textId="77777777" w:rsidR="003F62AF" w:rsidRPr="00636A94" w:rsidRDefault="003F62AF" w:rsidP="003F62AF">
      <w:pPr>
        <w:pStyle w:val="BodyText"/>
        <w:spacing w:before="9"/>
        <w:rPr>
          <w:rFonts w:ascii="Arial" w:hAnsi="Arial" w:cs="Arial"/>
          <w:b/>
          <w:i/>
          <w:sz w:val="21"/>
        </w:rPr>
      </w:pPr>
    </w:p>
    <w:p w14:paraId="03DC45FE" w14:textId="51B6492A" w:rsidR="003F62AF" w:rsidRDefault="003F62AF" w:rsidP="003F62AF">
      <w:pPr>
        <w:pStyle w:val="BodyText"/>
        <w:ind w:left="100" w:right="115"/>
        <w:rPr>
          <w:rFonts w:ascii="Arial" w:hAnsi="Arial" w:cs="Arial"/>
        </w:rPr>
      </w:pPr>
      <w:r w:rsidRPr="00E92E99">
        <w:rPr>
          <w:rFonts w:ascii="Arial" w:hAnsi="Arial" w:cs="Arial"/>
        </w:rPr>
        <w:t>NHS Treatment Costs</w:t>
      </w:r>
      <w:r>
        <w:rPr>
          <w:rFonts w:ascii="Arial" w:hAnsi="Arial" w:cs="Arial"/>
        </w:rPr>
        <w:t xml:space="preserve">, including Excess Treatment Costs are the responsibility of commissioners </w:t>
      </w:r>
      <w:r w:rsidR="004607EE">
        <w:rPr>
          <w:rFonts w:ascii="Arial" w:hAnsi="Arial" w:cs="Arial"/>
        </w:rPr>
        <w:t xml:space="preserve">and </w:t>
      </w:r>
      <w:r>
        <w:rPr>
          <w:rFonts w:ascii="Arial" w:hAnsi="Arial" w:cs="Arial"/>
        </w:rPr>
        <w:t xml:space="preserve">are expected to be </w:t>
      </w:r>
      <w:r w:rsidRPr="00E92E99">
        <w:rPr>
          <w:rFonts w:ascii="Arial" w:hAnsi="Arial" w:cs="Arial"/>
        </w:rPr>
        <w:t>met through the normal commissioning process</w:t>
      </w:r>
      <w:r w:rsidRPr="00A702FC">
        <w:rPr>
          <w:rFonts w:ascii="Arial" w:hAnsi="Arial" w:cs="Arial"/>
        </w:rPr>
        <w:t xml:space="preserve"> </w:t>
      </w:r>
      <w:hyperlink r:id="rId14" w:history="1">
        <w:r w:rsidRPr="000660E6">
          <w:rPr>
            <w:rStyle w:val="Hyperlink"/>
            <w:rFonts w:ascii="Arial" w:hAnsi="Arial" w:cs="Arial"/>
          </w:rPr>
          <w:t>(</w:t>
        </w:r>
        <w:r w:rsidRPr="00E92E99">
          <w:rPr>
            <w:rStyle w:val="Hyperlink"/>
            <w:rFonts w:ascii="Arial" w:hAnsi="Arial" w:cs="Arial"/>
          </w:rPr>
          <w:t>Attributing the cost of health and social care Research &amp; Development (AcoRD), DHSC, 2012)</w:t>
        </w:r>
      </w:hyperlink>
      <w:r>
        <w:rPr>
          <w:rFonts w:ascii="Arial" w:hAnsi="Arial" w:cs="Arial"/>
        </w:rPr>
        <w:t>.  In practice, for NIHR supported research, this process is managed through the NHS England national management model.</w:t>
      </w:r>
    </w:p>
    <w:p w14:paraId="3475E47C" w14:textId="77777777" w:rsidR="003F62AF" w:rsidRDefault="003F62AF" w:rsidP="003F62AF">
      <w:pPr>
        <w:pStyle w:val="BodyText"/>
        <w:ind w:left="100" w:right="115"/>
        <w:rPr>
          <w:rFonts w:ascii="Arial" w:hAnsi="Arial" w:cs="Arial"/>
        </w:rPr>
      </w:pPr>
    </w:p>
    <w:p w14:paraId="29CB4044" w14:textId="79DFD48B" w:rsidR="003F62AF" w:rsidRPr="00A702FC" w:rsidRDefault="003F62AF" w:rsidP="003F62AF">
      <w:pPr>
        <w:pStyle w:val="BodyText"/>
        <w:ind w:left="100" w:right="115"/>
        <w:rPr>
          <w:rFonts w:ascii="Arial" w:hAnsi="Arial" w:cs="Arial"/>
        </w:rPr>
      </w:pPr>
      <w:r>
        <w:rPr>
          <w:rFonts w:ascii="Arial" w:hAnsi="Arial" w:cs="Arial"/>
        </w:rPr>
        <w:t>Given a high proportion of</w:t>
      </w:r>
      <w:r w:rsidRPr="00A702FC">
        <w:rPr>
          <w:rFonts w:ascii="Arial" w:hAnsi="Arial" w:cs="Arial"/>
        </w:rPr>
        <w:t xml:space="preserve"> research </w:t>
      </w:r>
      <w:r>
        <w:rPr>
          <w:rFonts w:ascii="Arial" w:hAnsi="Arial" w:cs="Arial"/>
        </w:rPr>
        <w:t xml:space="preserve">in the UK is supported via the NIHR and will be eligible for payment of ETCs through the national system, requests to fund ETC </w:t>
      </w:r>
      <w:r w:rsidR="004607EE">
        <w:rPr>
          <w:rFonts w:ascii="Arial" w:hAnsi="Arial" w:cs="Arial"/>
        </w:rPr>
        <w:t>that fall outside the scope of this system</w:t>
      </w:r>
      <w:r>
        <w:rPr>
          <w:rFonts w:ascii="Arial" w:hAnsi="Arial" w:cs="Arial"/>
        </w:rPr>
        <w:t xml:space="preserve"> not expected to</w:t>
      </w:r>
      <w:r w:rsidRPr="00A702FC">
        <w:rPr>
          <w:rFonts w:ascii="Arial" w:hAnsi="Arial" w:cs="Arial"/>
        </w:rPr>
        <w:t xml:space="preserve"> commonly arise. </w:t>
      </w:r>
    </w:p>
    <w:p w14:paraId="756D34A9" w14:textId="77777777" w:rsidR="003F62AF" w:rsidRPr="00A702FC" w:rsidRDefault="003F62AF" w:rsidP="003F62AF">
      <w:pPr>
        <w:pStyle w:val="BodyText"/>
        <w:ind w:left="100" w:right="115"/>
      </w:pPr>
    </w:p>
    <w:p w14:paraId="798A2DEE" w14:textId="060F560F" w:rsidR="003F62AF" w:rsidRPr="00A702FC" w:rsidRDefault="00330037" w:rsidP="003F62AF">
      <w:pPr>
        <w:pStyle w:val="BodyText"/>
        <w:ind w:left="100" w:right="206"/>
        <w:rPr>
          <w:rFonts w:ascii="Arial" w:hAnsi="Arial" w:cs="Arial"/>
        </w:rPr>
      </w:pPr>
      <w:r>
        <w:rPr>
          <w:rFonts w:ascii="Arial" w:hAnsi="Arial" w:cs="Arial"/>
        </w:rPr>
        <w:t>When determining whether to fund ETCs i</w:t>
      </w:r>
      <w:r w:rsidR="003F62AF" w:rsidRPr="00A702FC">
        <w:rPr>
          <w:rFonts w:ascii="Arial" w:hAnsi="Arial" w:cs="Arial"/>
        </w:rPr>
        <w:t>t is important to establish what the status of a trial is, who has sponsored it and which bodies contribute to funding the trial.</w:t>
      </w:r>
    </w:p>
    <w:p w14:paraId="4510EB16" w14:textId="77777777" w:rsidR="003F62AF" w:rsidRPr="00A702FC" w:rsidRDefault="003F62AF" w:rsidP="003F62AF">
      <w:pPr>
        <w:pStyle w:val="BodyText"/>
        <w:ind w:left="100" w:right="206"/>
        <w:rPr>
          <w:rFonts w:ascii="Arial" w:hAnsi="Arial" w:cs="Arial"/>
        </w:rPr>
      </w:pPr>
    </w:p>
    <w:p w14:paraId="35178CED" w14:textId="77777777" w:rsidR="003F62AF" w:rsidRPr="00A702FC" w:rsidRDefault="003F62AF" w:rsidP="003F62AF">
      <w:pPr>
        <w:pStyle w:val="BodyText"/>
        <w:ind w:left="100"/>
        <w:rPr>
          <w:rFonts w:ascii="Arial" w:hAnsi="Arial" w:cs="Arial"/>
        </w:rPr>
      </w:pPr>
      <w:r w:rsidRPr="00A702FC">
        <w:rPr>
          <w:rFonts w:ascii="Arial" w:hAnsi="Arial" w:cs="Arial"/>
        </w:rPr>
        <w:t>Those commissioning health care may be asked to explicitly fund trials in two ways:</w:t>
      </w:r>
    </w:p>
    <w:p w14:paraId="63862315" w14:textId="77777777" w:rsidR="003F62AF" w:rsidRPr="00A702FC" w:rsidRDefault="003F62AF" w:rsidP="003F62AF">
      <w:pPr>
        <w:pStyle w:val="BodyText"/>
        <w:rPr>
          <w:rFonts w:ascii="Arial" w:hAnsi="Arial" w:cs="Arial"/>
        </w:rPr>
      </w:pPr>
    </w:p>
    <w:p w14:paraId="72DD5CDF" w14:textId="049981AC" w:rsidR="000326B2" w:rsidRPr="00122B3B" w:rsidRDefault="003F62AF" w:rsidP="000326B2">
      <w:pPr>
        <w:pStyle w:val="ListParagraph"/>
        <w:widowControl w:val="0"/>
        <w:numPr>
          <w:ilvl w:val="0"/>
          <w:numId w:val="27"/>
        </w:numPr>
        <w:tabs>
          <w:tab w:val="left" w:pos="528"/>
        </w:tabs>
        <w:autoSpaceDE w:val="0"/>
        <w:autoSpaceDN w:val="0"/>
        <w:spacing w:after="0" w:line="240" w:lineRule="auto"/>
        <w:ind w:right="126"/>
        <w:rPr>
          <w:rFonts w:ascii="Arial" w:hAnsi="Arial" w:cs="Arial"/>
        </w:rPr>
      </w:pPr>
      <w:r w:rsidRPr="00A702FC">
        <w:rPr>
          <w:rFonts w:ascii="Arial" w:hAnsi="Arial" w:cs="Arial"/>
        </w:rPr>
        <w:t>A request to support a trial by funding a number of patients or any qualifying patient to enter the trial</w:t>
      </w:r>
      <w:r w:rsidRPr="00122B3B">
        <w:rPr>
          <w:rFonts w:ascii="Arial" w:hAnsi="Arial" w:cs="Arial"/>
        </w:rPr>
        <w:t>. In these instances, the request should be treated as a service development. If it is a very large trial with considerable budgetary consequence it is more likely that prioritisation should be through the annual commissioning</w:t>
      </w:r>
      <w:r w:rsidRPr="00122B3B">
        <w:rPr>
          <w:rFonts w:ascii="Arial" w:hAnsi="Arial" w:cs="Arial"/>
          <w:spacing w:val="-9"/>
        </w:rPr>
        <w:t xml:space="preserve"> </w:t>
      </w:r>
      <w:r w:rsidRPr="00122B3B">
        <w:rPr>
          <w:rFonts w:ascii="Arial" w:hAnsi="Arial" w:cs="Arial"/>
        </w:rPr>
        <w:t>process.</w:t>
      </w:r>
    </w:p>
    <w:p w14:paraId="6D47E08A" w14:textId="77777777" w:rsidR="000326B2" w:rsidRDefault="000326B2" w:rsidP="000326B2">
      <w:pPr>
        <w:autoSpaceDE w:val="0"/>
        <w:autoSpaceDN w:val="0"/>
        <w:spacing w:line="240" w:lineRule="auto"/>
        <w:contextualSpacing/>
        <w:rPr>
          <w:rFonts w:ascii="Arial-BoldMT" w:hAnsi="Arial-BoldMT"/>
          <w:i/>
          <w:iCs/>
          <w:color w:val="7030A0"/>
          <w:sz w:val="20"/>
          <w:szCs w:val="20"/>
        </w:rPr>
      </w:pPr>
    </w:p>
    <w:p w14:paraId="2617F402" w14:textId="5F12BF75" w:rsidR="000326B2" w:rsidRPr="00122B3B" w:rsidRDefault="000326B2" w:rsidP="000326B2">
      <w:pPr>
        <w:autoSpaceDE w:val="0"/>
        <w:autoSpaceDN w:val="0"/>
        <w:spacing w:line="240" w:lineRule="auto"/>
        <w:ind w:left="709"/>
        <w:contextualSpacing/>
        <w:rPr>
          <w:rFonts w:ascii="Arial" w:hAnsi="Arial" w:cs="Arial"/>
          <w:i/>
          <w:iCs/>
        </w:rPr>
      </w:pPr>
      <w:r w:rsidRPr="00122B3B">
        <w:rPr>
          <w:rFonts w:ascii="Arial" w:hAnsi="Arial" w:cs="Arial"/>
          <w:i/>
          <w:iCs/>
        </w:rPr>
        <w:t>A request for a treatment should be classified as a request for a service development if there are likely to be a cohort of similar patients who are:</w:t>
      </w:r>
    </w:p>
    <w:p w14:paraId="7FF8BEB9" w14:textId="77777777" w:rsidR="000326B2" w:rsidRPr="00122B3B" w:rsidRDefault="000326B2" w:rsidP="000326B2">
      <w:pPr>
        <w:numPr>
          <w:ilvl w:val="0"/>
          <w:numId w:val="30"/>
        </w:numPr>
        <w:autoSpaceDE w:val="0"/>
        <w:autoSpaceDN w:val="0"/>
        <w:spacing w:after="0" w:line="240" w:lineRule="auto"/>
        <w:ind w:left="992" w:hanging="283"/>
        <w:contextualSpacing/>
        <w:rPr>
          <w:rFonts w:ascii="Arial" w:hAnsi="Arial" w:cs="Arial"/>
          <w:i/>
          <w:iCs/>
        </w:rPr>
      </w:pPr>
      <w:r w:rsidRPr="00122B3B">
        <w:rPr>
          <w:rFonts w:ascii="Arial" w:hAnsi="Arial" w:cs="Arial"/>
          <w:i/>
          <w:iCs/>
        </w:rPr>
        <w:t>In the same or similar clinical circumstances as the requesting patient whose clinical condition means that they could make a like request (regardless as to whether such a request has been made)</w:t>
      </w:r>
    </w:p>
    <w:p w14:paraId="04B9C2C9" w14:textId="77777777" w:rsidR="000326B2" w:rsidRPr="00122B3B" w:rsidRDefault="000326B2" w:rsidP="000326B2">
      <w:pPr>
        <w:autoSpaceDE w:val="0"/>
        <w:autoSpaceDN w:val="0"/>
        <w:spacing w:line="240" w:lineRule="auto"/>
        <w:ind w:left="992" w:hanging="283"/>
        <w:contextualSpacing/>
        <w:rPr>
          <w:rFonts w:ascii="Arial" w:hAnsi="Arial" w:cs="Arial"/>
          <w:i/>
          <w:iCs/>
        </w:rPr>
      </w:pPr>
      <w:r w:rsidRPr="00122B3B">
        <w:rPr>
          <w:rFonts w:ascii="Arial" w:hAnsi="Arial" w:cs="Arial"/>
          <w:i/>
          <w:iCs/>
        </w:rPr>
        <w:t>AND</w:t>
      </w:r>
    </w:p>
    <w:p w14:paraId="65724AFF" w14:textId="77777777" w:rsidR="000326B2" w:rsidRPr="00122B3B" w:rsidRDefault="000326B2" w:rsidP="000326B2">
      <w:pPr>
        <w:numPr>
          <w:ilvl w:val="0"/>
          <w:numId w:val="30"/>
        </w:numPr>
        <w:autoSpaceDE w:val="0"/>
        <w:autoSpaceDN w:val="0"/>
        <w:spacing w:after="0" w:line="240" w:lineRule="auto"/>
        <w:ind w:left="992" w:hanging="283"/>
        <w:contextualSpacing/>
        <w:rPr>
          <w:rFonts w:ascii="Arial" w:hAnsi="Arial" w:cs="Arial"/>
          <w:i/>
          <w:iCs/>
        </w:rPr>
      </w:pPr>
      <w:r w:rsidRPr="00122B3B">
        <w:rPr>
          <w:rFonts w:ascii="Arial" w:hAnsi="Arial" w:cs="Arial"/>
          <w:i/>
          <w:iCs/>
        </w:rPr>
        <w:t>Who could reasonably be expected to benefit from the requested treatment to the same or a similar degree.</w:t>
      </w:r>
    </w:p>
    <w:p w14:paraId="1B2A11A9" w14:textId="77777777" w:rsidR="003F62AF" w:rsidRPr="00A702FC" w:rsidRDefault="003F62AF" w:rsidP="003F62AF">
      <w:pPr>
        <w:pStyle w:val="BodyText"/>
        <w:rPr>
          <w:rFonts w:ascii="Arial" w:hAnsi="Arial" w:cs="Arial"/>
        </w:rPr>
      </w:pPr>
    </w:p>
    <w:p w14:paraId="37F44F72" w14:textId="77777777" w:rsidR="003F62AF" w:rsidRPr="00A702FC" w:rsidRDefault="003F62AF" w:rsidP="003F62AF">
      <w:pPr>
        <w:pStyle w:val="ListParagraph"/>
        <w:widowControl w:val="0"/>
        <w:numPr>
          <w:ilvl w:val="0"/>
          <w:numId w:val="27"/>
        </w:numPr>
        <w:tabs>
          <w:tab w:val="left" w:pos="528"/>
        </w:tabs>
        <w:autoSpaceDE w:val="0"/>
        <w:autoSpaceDN w:val="0"/>
        <w:spacing w:after="0" w:line="240" w:lineRule="auto"/>
        <w:ind w:right="437"/>
        <w:rPr>
          <w:rFonts w:ascii="Arial" w:hAnsi="Arial" w:cs="Arial"/>
        </w:rPr>
      </w:pPr>
      <w:r w:rsidRPr="00A702FC">
        <w:rPr>
          <w:rFonts w:ascii="Arial" w:hAnsi="Arial" w:cs="Arial"/>
        </w:rPr>
        <w:t>A request to support a single patient to enter a trial. This request should be managed under the organisation’s individual funding request policy and</w:t>
      </w:r>
      <w:r w:rsidRPr="00A702FC">
        <w:rPr>
          <w:rFonts w:ascii="Arial" w:hAnsi="Arial" w:cs="Arial"/>
          <w:spacing w:val="-14"/>
        </w:rPr>
        <w:t xml:space="preserve"> </w:t>
      </w:r>
      <w:r w:rsidRPr="00A702FC">
        <w:rPr>
          <w:rFonts w:ascii="Arial" w:hAnsi="Arial" w:cs="Arial"/>
        </w:rPr>
        <w:t>process.</w:t>
      </w:r>
    </w:p>
    <w:p w14:paraId="42396968" w14:textId="77777777" w:rsidR="003F62AF" w:rsidRPr="00A702FC" w:rsidRDefault="003F62AF" w:rsidP="00BB6C94">
      <w:pPr>
        <w:pStyle w:val="BodyText"/>
      </w:pPr>
    </w:p>
    <w:p w14:paraId="2F8D80C4" w14:textId="77777777" w:rsidR="003F62AF" w:rsidRPr="00A702FC" w:rsidRDefault="003F62AF" w:rsidP="003F62AF">
      <w:pPr>
        <w:pStyle w:val="BodyText"/>
        <w:jc w:val="both"/>
        <w:rPr>
          <w:rFonts w:ascii="Arial" w:hAnsi="Arial" w:cs="Arial"/>
        </w:rPr>
      </w:pPr>
      <w:r w:rsidRPr="00A702FC">
        <w:rPr>
          <w:rFonts w:ascii="Arial" w:hAnsi="Arial" w:cs="Arial"/>
        </w:rPr>
        <w:t>The most common situation in which commissioners find themselves is as the recipients of requests to fund on-going treatment once the trial has ended.</w:t>
      </w:r>
      <w:r>
        <w:rPr>
          <w:rFonts w:ascii="Arial" w:hAnsi="Arial" w:cs="Arial"/>
        </w:rPr>
        <w:t xml:space="preserve"> This is addressed in 4.1 above</w:t>
      </w:r>
      <w:r w:rsidRPr="00A702FC">
        <w:rPr>
          <w:rFonts w:ascii="Arial" w:hAnsi="Arial" w:cs="Arial"/>
        </w:rPr>
        <w:t xml:space="preserve"> </w:t>
      </w:r>
    </w:p>
    <w:p w14:paraId="1A8B1C60" w14:textId="77777777" w:rsidR="003F62AF" w:rsidRDefault="003F62AF" w:rsidP="008E26FE">
      <w:pPr>
        <w:pStyle w:val="ListParagraph"/>
        <w:widowControl w:val="0"/>
        <w:tabs>
          <w:tab w:val="left" w:pos="808"/>
          <w:tab w:val="left" w:pos="809"/>
        </w:tabs>
        <w:autoSpaceDE w:val="0"/>
        <w:autoSpaceDN w:val="0"/>
        <w:spacing w:after="0" w:line="240" w:lineRule="auto"/>
        <w:ind w:left="100" w:right="809"/>
        <w:jc w:val="both"/>
        <w:rPr>
          <w:rFonts w:ascii="Arial" w:hAnsi="Arial" w:cs="Arial"/>
          <w:b/>
          <w:bCs/>
        </w:rPr>
      </w:pPr>
    </w:p>
    <w:p w14:paraId="023A70C5" w14:textId="22C60D27" w:rsidR="008E26FE" w:rsidRPr="009F7879" w:rsidRDefault="008E26FE" w:rsidP="008E26FE">
      <w:pPr>
        <w:pStyle w:val="ListParagraph"/>
        <w:widowControl w:val="0"/>
        <w:tabs>
          <w:tab w:val="left" w:pos="808"/>
          <w:tab w:val="left" w:pos="809"/>
        </w:tabs>
        <w:autoSpaceDE w:val="0"/>
        <w:autoSpaceDN w:val="0"/>
        <w:spacing w:after="0" w:line="240" w:lineRule="auto"/>
        <w:ind w:left="100" w:right="809"/>
        <w:jc w:val="both"/>
        <w:rPr>
          <w:rFonts w:ascii="Arial" w:hAnsi="Arial" w:cs="Arial"/>
          <w:b/>
          <w:bCs/>
        </w:rPr>
      </w:pPr>
      <w:r w:rsidRPr="009F7879">
        <w:rPr>
          <w:rFonts w:ascii="Arial" w:hAnsi="Arial" w:cs="Arial"/>
          <w:b/>
          <w:bCs/>
        </w:rPr>
        <w:t>4</w:t>
      </w:r>
      <w:r>
        <w:rPr>
          <w:rFonts w:ascii="Arial" w:hAnsi="Arial" w:cs="Arial"/>
          <w:b/>
          <w:bCs/>
        </w:rPr>
        <w:t>.</w:t>
      </w:r>
      <w:r w:rsidR="00AD34CC">
        <w:rPr>
          <w:rFonts w:ascii="Arial" w:hAnsi="Arial" w:cs="Arial"/>
          <w:b/>
          <w:bCs/>
        </w:rPr>
        <w:t>3</w:t>
      </w:r>
      <w:r w:rsidRPr="009F7879">
        <w:rPr>
          <w:rFonts w:ascii="Arial" w:hAnsi="Arial" w:cs="Arial"/>
          <w:b/>
          <w:bCs/>
        </w:rPr>
        <w:t xml:space="preserve"> </w:t>
      </w:r>
      <w:r>
        <w:rPr>
          <w:rFonts w:ascii="Arial" w:hAnsi="Arial" w:cs="Arial"/>
          <w:b/>
          <w:bCs/>
        </w:rPr>
        <w:t xml:space="preserve">Assessing Requests to fund </w:t>
      </w:r>
    </w:p>
    <w:p w14:paraId="204D12D2" w14:textId="47D7BA8F" w:rsidR="008E26FE" w:rsidRDefault="008E26FE" w:rsidP="00B6042F">
      <w:pPr>
        <w:widowControl w:val="0"/>
        <w:tabs>
          <w:tab w:val="left" w:pos="808"/>
          <w:tab w:val="left" w:pos="809"/>
        </w:tabs>
        <w:autoSpaceDE w:val="0"/>
        <w:autoSpaceDN w:val="0"/>
        <w:spacing w:after="0" w:line="240" w:lineRule="auto"/>
        <w:ind w:right="809"/>
        <w:rPr>
          <w:rFonts w:ascii="Arial" w:hAnsi="Arial" w:cs="Arial"/>
        </w:rPr>
      </w:pPr>
    </w:p>
    <w:p w14:paraId="176505B8" w14:textId="422C8146" w:rsidR="004360AA" w:rsidRPr="00A702FC" w:rsidRDefault="008E26FE" w:rsidP="0011416A">
      <w:pPr>
        <w:widowControl w:val="0"/>
        <w:tabs>
          <w:tab w:val="left" w:pos="808"/>
          <w:tab w:val="left" w:pos="809"/>
        </w:tabs>
        <w:autoSpaceDE w:val="0"/>
        <w:autoSpaceDN w:val="0"/>
        <w:spacing w:after="0" w:line="240" w:lineRule="auto"/>
        <w:ind w:right="809"/>
      </w:pPr>
      <w:r>
        <w:rPr>
          <w:rFonts w:ascii="Arial" w:hAnsi="Arial" w:cs="Arial"/>
        </w:rPr>
        <w:t xml:space="preserve">Requests to fund ongoing treatment following a clinical trial, or </w:t>
      </w:r>
      <w:r w:rsidR="0026315F">
        <w:rPr>
          <w:rFonts w:ascii="Arial" w:hAnsi="Arial" w:cs="Arial"/>
        </w:rPr>
        <w:t xml:space="preserve">to fund </w:t>
      </w:r>
      <w:r w:rsidR="00D40B78">
        <w:rPr>
          <w:rFonts w:ascii="Arial" w:hAnsi="Arial" w:cs="Arial"/>
        </w:rPr>
        <w:t>Excess Treatment Costs for studies that fall outside of the scope for payment through the national system will be assessed against the following criteria</w:t>
      </w:r>
      <w:r w:rsidR="000A397B">
        <w:rPr>
          <w:rFonts w:ascii="Arial" w:hAnsi="Arial" w:cs="Arial"/>
        </w:rPr>
        <w:t>:</w:t>
      </w:r>
      <w:r w:rsidR="004360AA" w:rsidRPr="00A702FC">
        <w:br/>
      </w:r>
    </w:p>
    <w:p w14:paraId="19992063" w14:textId="024D9877" w:rsidR="004360AA" w:rsidRPr="00A702FC" w:rsidRDefault="004360AA" w:rsidP="008558A9">
      <w:pPr>
        <w:pStyle w:val="ListParagraph"/>
        <w:widowControl w:val="0"/>
        <w:numPr>
          <w:ilvl w:val="0"/>
          <w:numId w:val="13"/>
        </w:numPr>
        <w:tabs>
          <w:tab w:val="left" w:pos="808"/>
          <w:tab w:val="left" w:pos="809"/>
        </w:tabs>
        <w:autoSpaceDE w:val="0"/>
        <w:autoSpaceDN w:val="0"/>
        <w:spacing w:after="0" w:line="240" w:lineRule="auto"/>
        <w:ind w:right="224"/>
        <w:rPr>
          <w:rFonts w:ascii="Arial" w:hAnsi="Arial" w:cs="Arial"/>
        </w:rPr>
      </w:pPr>
      <w:r w:rsidRPr="00A702FC">
        <w:rPr>
          <w:rFonts w:ascii="Arial" w:hAnsi="Arial" w:cs="Arial"/>
        </w:rPr>
        <w:t>The potential strategic importance of the treatment. This requires a judgment to be made on whether the trial will address key national priorities for the health issues for a particular patient group or programme area (</w:t>
      </w:r>
      <w:r w:rsidR="003D1452" w:rsidRPr="00A702FC">
        <w:rPr>
          <w:rFonts w:ascii="Arial" w:hAnsi="Arial" w:cs="Arial"/>
        </w:rPr>
        <w:t>e.g.,</w:t>
      </w:r>
      <w:r w:rsidRPr="00A702FC">
        <w:rPr>
          <w:rFonts w:ascii="Arial" w:hAnsi="Arial" w:cs="Arial"/>
        </w:rPr>
        <w:t xml:space="preserve"> cancer, cardiovascular</w:t>
      </w:r>
      <w:r w:rsidRPr="00A702FC">
        <w:rPr>
          <w:rFonts w:ascii="Arial" w:hAnsi="Arial" w:cs="Arial"/>
          <w:spacing w:val="-14"/>
        </w:rPr>
        <w:t xml:space="preserve"> </w:t>
      </w:r>
      <w:r w:rsidRPr="00A702FC">
        <w:rPr>
          <w:rFonts w:ascii="Arial" w:hAnsi="Arial" w:cs="Arial"/>
        </w:rPr>
        <w:t>disease).</w:t>
      </w:r>
      <w:r w:rsidRPr="00A702FC">
        <w:rPr>
          <w:rFonts w:ascii="Arial" w:hAnsi="Arial" w:cs="Arial"/>
        </w:rPr>
        <w:br/>
      </w:r>
    </w:p>
    <w:p w14:paraId="227C46D1" w14:textId="7132321A" w:rsidR="004360AA" w:rsidRPr="00A702FC" w:rsidRDefault="00877B92" w:rsidP="006B2B95">
      <w:pPr>
        <w:pStyle w:val="ListParagraph"/>
        <w:widowControl w:val="0"/>
        <w:numPr>
          <w:ilvl w:val="0"/>
          <w:numId w:val="13"/>
        </w:numPr>
        <w:tabs>
          <w:tab w:val="left" w:pos="1560"/>
          <w:tab w:val="left" w:pos="1561"/>
        </w:tabs>
        <w:autoSpaceDE w:val="0"/>
        <w:autoSpaceDN w:val="0"/>
        <w:spacing w:before="30" w:after="0" w:line="240" w:lineRule="auto"/>
        <w:ind w:right="276"/>
        <w:rPr>
          <w:rFonts w:ascii="Arial" w:hAnsi="Arial" w:cs="Arial"/>
        </w:rPr>
      </w:pPr>
      <w:r w:rsidRPr="00A702FC">
        <w:rPr>
          <w:rFonts w:ascii="Arial" w:hAnsi="Arial" w:cs="Arial"/>
        </w:rPr>
        <w:t>T</w:t>
      </w:r>
      <w:r w:rsidR="004360AA" w:rsidRPr="00A702FC">
        <w:rPr>
          <w:rFonts w:ascii="Arial" w:hAnsi="Arial" w:cs="Arial"/>
        </w:rPr>
        <w:t>he status of the clinical trial including whether or not the trial is supported by the NIHR and other relevant professional and research bodies.</w:t>
      </w:r>
    </w:p>
    <w:p w14:paraId="14B57308" w14:textId="77777777" w:rsidR="004360AA" w:rsidRPr="00A702FC" w:rsidRDefault="004360AA" w:rsidP="004360AA">
      <w:pPr>
        <w:pStyle w:val="BodyText"/>
        <w:spacing w:before="12"/>
        <w:rPr>
          <w:rFonts w:ascii="Arial" w:hAnsi="Arial" w:cs="Arial"/>
          <w:sz w:val="21"/>
        </w:rPr>
      </w:pPr>
    </w:p>
    <w:p w14:paraId="100AA8BD" w14:textId="77777777" w:rsidR="004360AA" w:rsidRPr="00A702FC" w:rsidRDefault="004360AA" w:rsidP="008558A9">
      <w:pPr>
        <w:pStyle w:val="ListParagraph"/>
        <w:widowControl w:val="0"/>
        <w:numPr>
          <w:ilvl w:val="0"/>
          <w:numId w:val="13"/>
        </w:numPr>
        <w:tabs>
          <w:tab w:val="left" w:pos="1560"/>
          <w:tab w:val="left" w:pos="1561"/>
        </w:tabs>
        <w:autoSpaceDE w:val="0"/>
        <w:autoSpaceDN w:val="0"/>
        <w:spacing w:after="0" w:line="240" w:lineRule="auto"/>
        <w:ind w:right="133"/>
        <w:rPr>
          <w:rFonts w:ascii="Arial" w:hAnsi="Arial" w:cs="Arial"/>
        </w:rPr>
      </w:pPr>
      <w:r w:rsidRPr="00A702FC">
        <w:rPr>
          <w:rFonts w:ascii="Arial" w:hAnsi="Arial" w:cs="Arial"/>
        </w:rPr>
        <w:t>The quality of the trial and whether or not it is reasonably expected to generate the sort of information needed to enable those funding healthcare to reach a view on the clinical effectiveness and cost effectiveness of the treatment. Specialist advice may need to be sought on the methodology to be adopted within any</w:t>
      </w:r>
      <w:r w:rsidRPr="00A702FC">
        <w:rPr>
          <w:rFonts w:ascii="Arial" w:hAnsi="Arial" w:cs="Arial"/>
          <w:spacing w:val="-16"/>
        </w:rPr>
        <w:t xml:space="preserve"> </w:t>
      </w:r>
      <w:r w:rsidRPr="00A702FC">
        <w:rPr>
          <w:rFonts w:ascii="Arial" w:hAnsi="Arial" w:cs="Arial"/>
        </w:rPr>
        <w:t>trial.</w:t>
      </w:r>
    </w:p>
    <w:p w14:paraId="03F8224C" w14:textId="77777777" w:rsidR="004360AA" w:rsidRPr="00A702FC" w:rsidRDefault="004360AA" w:rsidP="004360AA">
      <w:pPr>
        <w:pStyle w:val="ListParagraph"/>
        <w:rPr>
          <w:rFonts w:ascii="Arial" w:hAnsi="Arial" w:cs="Arial"/>
        </w:rPr>
      </w:pPr>
    </w:p>
    <w:p w14:paraId="61486399" w14:textId="77777777" w:rsidR="004360AA" w:rsidRPr="00A702FC" w:rsidRDefault="004360AA" w:rsidP="008558A9">
      <w:pPr>
        <w:pStyle w:val="ListParagraph"/>
        <w:widowControl w:val="0"/>
        <w:numPr>
          <w:ilvl w:val="0"/>
          <w:numId w:val="13"/>
        </w:numPr>
        <w:tabs>
          <w:tab w:val="left" w:pos="1560"/>
          <w:tab w:val="left" w:pos="1561"/>
        </w:tabs>
        <w:autoSpaceDE w:val="0"/>
        <w:autoSpaceDN w:val="0"/>
        <w:spacing w:after="0" w:line="240" w:lineRule="auto"/>
        <w:ind w:right="133"/>
        <w:rPr>
          <w:rFonts w:ascii="Arial" w:hAnsi="Arial" w:cs="Arial"/>
        </w:rPr>
      </w:pPr>
      <w:r w:rsidRPr="00A702FC">
        <w:rPr>
          <w:rFonts w:ascii="Arial" w:hAnsi="Arial" w:cs="Arial"/>
        </w:rPr>
        <w:t>Ownership of the data. Trials which do not guarantee that the data will be made available to public authorities and research communities for independent evaluation will not be considered for funding</w:t>
      </w:r>
    </w:p>
    <w:p w14:paraId="3121C1F2" w14:textId="77777777" w:rsidR="004360AA" w:rsidRPr="00A702FC" w:rsidRDefault="004360AA" w:rsidP="004360AA">
      <w:pPr>
        <w:pStyle w:val="ListParagraph"/>
      </w:pPr>
    </w:p>
    <w:p w14:paraId="771A20D3" w14:textId="04E45A86" w:rsidR="004360AA" w:rsidRPr="00A702FC" w:rsidRDefault="004360AA" w:rsidP="008558A9">
      <w:pPr>
        <w:pStyle w:val="ListParagraph"/>
        <w:widowControl w:val="0"/>
        <w:numPr>
          <w:ilvl w:val="0"/>
          <w:numId w:val="13"/>
        </w:numPr>
        <w:tabs>
          <w:tab w:val="left" w:pos="1560"/>
          <w:tab w:val="left" w:pos="1561"/>
        </w:tabs>
        <w:autoSpaceDE w:val="0"/>
        <w:autoSpaceDN w:val="0"/>
        <w:spacing w:after="0" w:line="240" w:lineRule="auto"/>
      </w:pPr>
      <w:r w:rsidRPr="00A702FC">
        <w:rPr>
          <w:rFonts w:ascii="Arial" w:hAnsi="Arial" w:cs="Arial"/>
        </w:rPr>
        <w:t>Affordability and priority when compared to competing unmet</w:t>
      </w:r>
      <w:r w:rsidRPr="00A702FC">
        <w:rPr>
          <w:rFonts w:ascii="Arial" w:hAnsi="Arial" w:cs="Arial"/>
          <w:spacing w:val="-15"/>
        </w:rPr>
        <w:t xml:space="preserve"> </w:t>
      </w:r>
      <w:r w:rsidRPr="00A702FC">
        <w:rPr>
          <w:rFonts w:ascii="Arial" w:hAnsi="Arial" w:cs="Arial"/>
        </w:rPr>
        <w:t>needs</w:t>
      </w:r>
      <w:r w:rsidRPr="00A702FC">
        <w:br/>
      </w:r>
    </w:p>
    <w:p w14:paraId="508091CE" w14:textId="77777777" w:rsidR="00A56716" w:rsidRPr="00A702FC" w:rsidRDefault="004360AA" w:rsidP="00B6042F">
      <w:pPr>
        <w:widowControl w:val="0"/>
        <w:tabs>
          <w:tab w:val="left" w:pos="808"/>
          <w:tab w:val="left" w:pos="809"/>
        </w:tabs>
        <w:autoSpaceDE w:val="0"/>
        <w:autoSpaceDN w:val="0"/>
        <w:spacing w:after="0" w:line="240" w:lineRule="auto"/>
        <w:ind w:right="809"/>
        <w:rPr>
          <w:rFonts w:ascii="Arial" w:hAnsi="Arial" w:cs="Arial"/>
        </w:rPr>
      </w:pPr>
      <w:r w:rsidRPr="00A702FC">
        <w:rPr>
          <w:rFonts w:ascii="Arial" w:hAnsi="Arial" w:cs="Arial"/>
        </w:rPr>
        <w:t>In all circumstances where funding is granted, the Provider must keep a record of acceptance to ensure pick-up funding is honoured, either for an individual patient or for the</w:t>
      </w:r>
      <w:r w:rsidRPr="00A702FC">
        <w:rPr>
          <w:rFonts w:ascii="Arial" w:hAnsi="Arial" w:cs="Arial"/>
          <w:spacing w:val="-21"/>
        </w:rPr>
        <w:t xml:space="preserve"> </w:t>
      </w:r>
      <w:r w:rsidRPr="00A702FC">
        <w:rPr>
          <w:rFonts w:ascii="Arial" w:hAnsi="Arial" w:cs="Arial"/>
        </w:rPr>
        <w:t>trial.</w:t>
      </w:r>
    </w:p>
    <w:p w14:paraId="0592F204" w14:textId="26882383" w:rsidR="002B0A60" w:rsidRDefault="002B0A60" w:rsidP="00B6042F">
      <w:pPr>
        <w:widowControl w:val="0"/>
        <w:tabs>
          <w:tab w:val="left" w:pos="808"/>
          <w:tab w:val="left" w:pos="809"/>
        </w:tabs>
        <w:autoSpaceDE w:val="0"/>
        <w:autoSpaceDN w:val="0"/>
        <w:spacing w:after="0" w:line="240" w:lineRule="auto"/>
        <w:ind w:right="809"/>
      </w:pPr>
    </w:p>
    <w:p w14:paraId="406A3C88" w14:textId="3BD8C1E3" w:rsidR="004360AA" w:rsidRPr="00A702FC" w:rsidRDefault="004360AA" w:rsidP="00B6042F">
      <w:pPr>
        <w:widowControl w:val="0"/>
        <w:tabs>
          <w:tab w:val="left" w:pos="808"/>
          <w:tab w:val="left" w:pos="809"/>
        </w:tabs>
        <w:autoSpaceDE w:val="0"/>
        <w:autoSpaceDN w:val="0"/>
        <w:spacing w:after="0" w:line="240" w:lineRule="auto"/>
        <w:ind w:right="809"/>
        <w:rPr>
          <w:color w:val="4472C4" w:themeColor="accent5"/>
        </w:rPr>
      </w:pPr>
      <w:r w:rsidRPr="00A702FC">
        <w:br/>
      </w:r>
      <w:r w:rsidR="008D49C0">
        <w:rPr>
          <w:b/>
          <w:bCs/>
          <w:color w:val="4472C4" w:themeColor="accent5"/>
          <w:sz w:val="28"/>
          <w:szCs w:val="28"/>
        </w:rPr>
        <w:t>5</w:t>
      </w:r>
      <w:r w:rsidR="00935DB6" w:rsidRPr="00A702FC">
        <w:rPr>
          <w:b/>
          <w:bCs/>
          <w:color w:val="4472C4" w:themeColor="accent5"/>
          <w:sz w:val="28"/>
          <w:szCs w:val="28"/>
        </w:rPr>
        <w:t xml:space="preserve">. </w:t>
      </w:r>
      <w:r w:rsidR="00F75DD0" w:rsidRPr="00A702FC">
        <w:rPr>
          <w:b/>
          <w:bCs/>
          <w:color w:val="4472C4" w:themeColor="accent5"/>
          <w:sz w:val="28"/>
          <w:szCs w:val="28"/>
        </w:rPr>
        <w:t xml:space="preserve"> </w:t>
      </w:r>
      <w:bookmarkStart w:id="3" w:name="_Hlk89338796"/>
      <w:r w:rsidRPr="00A702FC">
        <w:rPr>
          <w:b/>
          <w:bCs/>
          <w:color w:val="4472C4" w:themeColor="accent5"/>
          <w:sz w:val="28"/>
          <w:szCs w:val="28"/>
        </w:rPr>
        <w:t xml:space="preserve">Use of an existing treatment experimentally for rare clinical circumstances </w:t>
      </w:r>
      <w:r w:rsidR="00935DB6" w:rsidRPr="00A702FC">
        <w:rPr>
          <w:b/>
          <w:bCs/>
          <w:color w:val="4472C4" w:themeColor="accent5"/>
          <w:sz w:val="28"/>
          <w:szCs w:val="28"/>
        </w:rPr>
        <w:t>(</w:t>
      </w:r>
      <w:r w:rsidRPr="00A702FC">
        <w:rPr>
          <w:b/>
          <w:bCs/>
          <w:color w:val="4472C4" w:themeColor="accent5"/>
          <w:sz w:val="28"/>
          <w:szCs w:val="28"/>
        </w:rPr>
        <w:t>outside the context of a clinical trial</w:t>
      </w:r>
      <w:r w:rsidR="00935DB6" w:rsidRPr="00A702FC">
        <w:rPr>
          <w:b/>
          <w:bCs/>
          <w:color w:val="4472C4" w:themeColor="accent5"/>
          <w:sz w:val="28"/>
          <w:szCs w:val="28"/>
        </w:rPr>
        <w:t>)</w:t>
      </w:r>
      <w:bookmarkEnd w:id="3"/>
      <w:r w:rsidRPr="00A702FC">
        <w:rPr>
          <w:b/>
          <w:bCs/>
          <w:color w:val="4472C4" w:themeColor="accent5"/>
          <w:sz w:val="28"/>
          <w:szCs w:val="28"/>
        </w:rPr>
        <w:br/>
      </w:r>
    </w:p>
    <w:p w14:paraId="46A10D3D" w14:textId="6B3A6F9D" w:rsidR="004360AA" w:rsidRPr="00A702FC" w:rsidRDefault="00136C4A" w:rsidP="00877B92">
      <w:pPr>
        <w:widowControl w:val="0"/>
        <w:tabs>
          <w:tab w:val="left" w:pos="686"/>
          <w:tab w:val="left" w:pos="687"/>
        </w:tabs>
        <w:autoSpaceDE w:val="0"/>
        <w:autoSpaceDN w:val="0"/>
        <w:spacing w:after="0" w:line="266" w:lineRule="exact"/>
        <w:ind w:right="346"/>
        <w:rPr>
          <w:rFonts w:ascii="Arial" w:hAnsi="Arial" w:cs="Arial"/>
        </w:rPr>
      </w:pPr>
      <w:r>
        <w:rPr>
          <w:rFonts w:ascii="Arial" w:hAnsi="Arial" w:cs="Arial"/>
        </w:rPr>
        <w:t xml:space="preserve">Norfolk &amp; Waveney </w:t>
      </w:r>
      <w:r w:rsidR="002B0A60">
        <w:rPr>
          <w:rFonts w:ascii="Arial" w:hAnsi="Arial" w:cs="Arial"/>
        </w:rPr>
        <w:t>ICB</w:t>
      </w:r>
      <w:r w:rsidR="004360AA" w:rsidRPr="00A702FC">
        <w:rPr>
          <w:rFonts w:ascii="Arial" w:hAnsi="Arial" w:cs="Arial"/>
        </w:rPr>
        <w:t xml:space="preserve"> will </w:t>
      </w:r>
      <w:proofErr w:type="gramStart"/>
      <w:r w:rsidR="004360AA" w:rsidRPr="00A702FC">
        <w:rPr>
          <w:rFonts w:ascii="Arial" w:hAnsi="Arial" w:cs="Arial"/>
        </w:rPr>
        <w:t>give consideration to</w:t>
      </w:r>
      <w:proofErr w:type="gramEnd"/>
      <w:r w:rsidR="004360AA" w:rsidRPr="00A702FC">
        <w:rPr>
          <w:rFonts w:ascii="Arial" w:hAnsi="Arial" w:cs="Arial"/>
        </w:rPr>
        <w:t xml:space="preserve"> supporting an existing treatment in an experimental context for rare clinical situations provided that the clinician making the application is able to demonstrate that running a good quality clinical trial for the treatment in the clinical situation in question is</w:t>
      </w:r>
      <w:r w:rsidR="004360AA" w:rsidRPr="00A702FC">
        <w:rPr>
          <w:rFonts w:ascii="Arial" w:hAnsi="Arial" w:cs="Arial"/>
          <w:spacing w:val="-15"/>
        </w:rPr>
        <w:t xml:space="preserve"> </w:t>
      </w:r>
      <w:r w:rsidR="004360AA" w:rsidRPr="00A702FC">
        <w:rPr>
          <w:rFonts w:ascii="Arial" w:hAnsi="Arial" w:cs="Arial"/>
        </w:rPr>
        <w:t>impossible.</w:t>
      </w:r>
      <w:r w:rsidR="004360AA" w:rsidRPr="00A702FC">
        <w:rPr>
          <w:rFonts w:ascii="Arial" w:hAnsi="Arial" w:cs="Arial"/>
        </w:rPr>
        <w:br/>
      </w:r>
    </w:p>
    <w:p w14:paraId="1A33D1D6" w14:textId="77777777" w:rsidR="00192CED" w:rsidRPr="00A702FC" w:rsidRDefault="00192CED" w:rsidP="00192CED">
      <w:pPr>
        <w:pStyle w:val="BodyText"/>
        <w:ind w:right="220"/>
        <w:rPr>
          <w:rFonts w:ascii="Arial" w:hAnsi="Arial" w:cs="Arial"/>
        </w:rPr>
      </w:pPr>
      <w:bookmarkStart w:id="4" w:name="_Hlk82591297"/>
      <w:r w:rsidRPr="00A702FC">
        <w:rPr>
          <w:rFonts w:ascii="Arial" w:hAnsi="Arial" w:cs="Arial"/>
        </w:rPr>
        <w:t xml:space="preserve">It </w:t>
      </w:r>
      <w:r w:rsidRPr="00114BE4">
        <w:rPr>
          <w:rFonts w:ascii="Arial" w:eastAsiaTheme="minorHAnsi" w:hAnsi="Arial" w:cs="Arial"/>
          <w:lang w:val="en-GB"/>
        </w:rPr>
        <w:t>is important for decision-makers to distinguish between those instances where trials are either impossible or improbable and those where the research community and industry have not prioritised a trial.</w:t>
      </w:r>
      <w:r>
        <w:rPr>
          <w:rFonts w:ascii="Arial" w:hAnsi="Arial" w:cs="Arial"/>
        </w:rPr>
        <w:t xml:space="preserve">  </w:t>
      </w:r>
    </w:p>
    <w:p w14:paraId="7AAC8881" w14:textId="77777777" w:rsidR="00192CED" w:rsidRDefault="00192CED" w:rsidP="00877B92">
      <w:pPr>
        <w:widowControl w:val="0"/>
        <w:tabs>
          <w:tab w:val="left" w:pos="687"/>
        </w:tabs>
        <w:autoSpaceDE w:val="0"/>
        <w:autoSpaceDN w:val="0"/>
        <w:spacing w:after="0" w:line="240" w:lineRule="auto"/>
        <w:ind w:right="765"/>
        <w:rPr>
          <w:rFonts w:ascii="Arial" w:hAnsi="Arial" w:cs="Arial"/>
        </w:rPr>
      </w:pPr>
    </w:p>
    <w:p w14:paraId="459ED797" w14:textId="363B98DB" w:rsidR="004360AA" w:rsidRPr="00A702FC" w:rsidRDefault="004360AA" w:rsidP="00877B92">
      <w:pPr>
        <w:widowControl w:val="0"/>
        <w:tabs>
          <w:tab w:val="left" w:pos="687"/>
        </w:tabs>
        <w:autoSpaceDE w:val="0"/>
        <w:autoSpaceDN w:val="0"/>
        <w:spacing w:after="0" w:line="240" w:lineRule="auto"/>
        <w:ind w:right="765"/>
        <w:rPr>
          <w:rFonts w:ascii="Arial" w:hAnsi="Arial" w:cs="Arial"/>
        </w:rPr>
      </w:pPr>
      <w:r w:rsidRPr="00A702FC">
        <w:rPr>
          <w:rFonts w:ascii="Arial" w:hAnsi="Arial" w:cs="Arial"/>
        </w:rPr>
        <w:t xml:space="preserve">This type of request will be considered under </w:t>
      </w:r>
      <w:r w:rsidR="00136C4A">
        <w:rPr>
          <w:rFonts w:ascii="Arial" w:hAnsi="Arial" w:cs="Arial"/>
        </w:rPr>
        <w:t>Norfolk &amp; Waveney ICB</w:t>
      </w:r>
      <w:r w:rsidRPr="00A702FC">
        <w:rPr>
          <w:rFonts w:ascii="Arial" w:hAnsi="Arial" w:cs="Arial"/>
        </w:rPr>
        <w:t xml:space="preserve"> individual funding request policy and</w:t>
      </w:r>
      <w:r w:rsidRPr="00A702FC">
        <w:rPr>
          <w:rFonts w:ascii="Arial" w:hAnsi="Arial" w:cs="Arial"/>
          <w:spacing w:val="-7"/>
        </w:rPr>
        <w:t xml:space="preserve"> </w:t>
      </w:r>
      <w:r w:rsidRPr="00A702FC">
        <w:rPr>
          <w:rFonts w:ascii="Arial" w:hAnsi="Arial" w:cs="Arial"/>
        </w:rPr>
        <w:t>process</w:t>
      </w:r>
      <w:bookmarkEnd w:id="4"/>
      <w:r w:rsidRPr="00A702FC">
        <w:rPr>
          <w:rFonts w:ascii="Arial" w:hAnsi="Arial" w:cs="Arial"/>
        </w:rPr>
        <w:t>.</w:t>
      </w:r>
      <w:r w:rsidRPr="00A702FC">
        <w:rPr>
          <w:rFonts w:ascii="Arial" w:hAnsi="Arial" w:cs="Arial"/>
        </w:rPr>
        <w:br/>
      </w:r>
    </w:p>
    <w:p w14:paraId="79C1A80C" w14:textId="7534B909" w:rsidR="004360AA" w:rsidRPr="00A702FC" w:rsidRDefault="004360AA" w:rsidP="00877B92">
      <w:pPr>
        <w:widowControl w:val="0"/>
        <w:tabs>
          <w:tab w:val="left" w:pos="687"/>
        </w:tabs>
        <w:autoSpaceDE w:val="0"/>
        <w:autoSpaceDN w:val="0"/>
        <w:spacing w:after="0" w:line="240" w:lineRule="auto"/>
        <w:ind w:right="378"/>
        <w:rPr>
          <w:rFonts w:ascii="Arial" w:hAnsi="Arial" w:cs="Arial"/>
        </w:rPr>
      </w:pPr>
      <w:r w:rsidRPr="00A702FC">
        <w:rPr>
          <w:rFonts w:ascii="Arial" w:hAnsi="Arial" w:cs="Arial"/>
        </w:rPr>
        <w:t xml:space="preserve">In assessing these cases </w:t>
      </w:r>
      <w:r w:rsidR="00136C4A">
        <w:rPr>
          <w:rFonts w:ascii="Arial" w:hAnsi="Arial" w:cs="Arial"/>
        </w:rPr>
        <w:t>Norfolk &amp; Waveney ICB</w:t>
      </w:r>
      <w:r w:rsidRPr="00A702FC">
        <w:rPr>
          <w:rFonts w:ascii="Arial" w:hAnsi="Arial" w:cs="Arial"/>
        </w:rPr>
        <w:t xml:space="preserve"> will </w:t>
      </w:r>
      <w:proofErr w:type="gramStart"/>
      <w:r w:rsidRPr="00A702FC">
        <w:rPr>
          <w:rFonts w:ascii="Arial" w:hAnsi="Arial" w:cs="Arial"/>
        </w:rPr>
        <w:t>make a decision</w:t>
      </w:r>
      <w:proofErr w:type="gramEnd"/>
      <w:r w:rsidRPr="00A702FC">
        <w:rPr>
          <w:rFonts w:ascii="Arial" w:hAnsi="Arial" w:cs="Arial"/>
        </w:rPr>
        <w:t xml:space="preserve"> having regard to the following</w:t>
      </w:r>
      <w:r w:rsidRPr="00A702FC">
        <w:rPr>
          <w:rFonts w:ascii="Arial" w:hAnsi="Arial" w:cs="Arial"/>
          <w:spacing w:val="-4"/>
        </w:rPr>
        <w:t xml:space="preserve"> </w:t>
      </w:r>
      <w:r w:rsidRPr="00A702FC">
        <w:rPr>
          <w:rFonts w:ascii="Arial" w:hAnsi="Arial" w:cs="Arial"/>
        </w:rPr>
        <w:t>factors:</w:t>
      </w:r>
    </w:p>
    <w:p w14:paraId="1558DFA7" w14:textId="77777777" w:rsidR="004360AA" w:rsidRPr="00A702FC" w:rsidRDefault="004360AA" w:rsidP="004360AA">
      <w:pPr>
        <w:pStyle w:val="ListParagraph"/>
        <w:tabs>
          <w:tab w:val="left" w:pos="687"/>
        </w:tabs>
        <w:ind w:left="686" w:right="378"/>
      </w:pPr>
    </w:p>
    <w:p w14:paraId="0D88D6EC" w14:textId="58FD5589" w:rsidR="004360AA" w:rsidRPr="00A702FC" w:rsidRDefault="004360AA" w:rsidP="008558A9">
      <w:pPr>
        <w:pStyle w:val="ListParagraph"/>
        <w:widowControl w:val="0"/>
        <w:numPr>
          <w:ilvl w:val="0"/>
          <w:numId w:val="1"/>
        </w:numPr>
        <w:tabs>
          <w:tab w:val="left" w:pos="687"/>
        </w:tabs>
        <w:autoSpaceDE w:val="0"/>
        <w:autoSpaceDN w:val="0"/>
        <w:spacing w:after="0" w:line="240" w:lineRule="auto"/>
        <w:ind w:right="378"/>
        <w:contextualSpacing w:val="0"/>
        <w:rPr>
          <w:rFonts w:ascii="Arial" w:hAnsi="Arial" w:cs="Arial"/>
        </w:rPr>
      </w:pPr>
      <w:r w:rsidRPr="00A702FC">
        <w:rPr>
          <w:rFonts w:ascii="Arial" w:hAnsi="Arial" w:cs="Arial"/>
        </w:rPr>
        <w:t xml:space="preserve">the biological </w:t>
      </w:r>
      <w:r w:rsidR="00A56716" w:rsidRPr="00A702FC">
        <w:rPr>
          <w:rFonts w:ascii="Arial" w:hAnsi="Arial" w:cs="Arial"/>
        </w:rPr>
        <w:t xml:space="preserve">plausibility </w:t>
      </w:r>
      <w:r w:rsidRPr="00A702FC">
        <w:rPr>
          <w:rFonts w:ascii="Arial" w:hAnsi="Arial" w:cs="Arial"/>
        </w:rPr>
        <w:t>of benefit based on other</w:t>
      </w:r>
      <w:r w:rsidRPr="00A702FC">
        <w:rPr>
          <w:rFonts w:ascii="Arial" w:hAnsi="Arial" w:cs="Arial"/>
          <w:spacing w:val="-16"/>
        </w:rPr>
        <w:t xml:space="preserve"> </w:t>
      </w:r>
      <w:r w:rsidRPr="00A702FC">
        <w:rPr>
          <w:rFonts w:ascii="Arial" w:hAnsi="Arial" w:cs="Arial"/>
        </w:rPr>
        <w:t>evidence</w:t>
      </w:r>
    </w:p>
    <w:p w14:paraId="55A9D9A0" w14:textId="77777777" w:rsidR="004360AA" w:rsidRPr="00A702FC" w:rsidRDefault="004360AA" w:rsidP="008558A9">
      <w:pPr>
        <w:pStyle w:val="ListParagraph"/>
        <w:widowControl w:val="0"/>
        <w:numPr>
          <w:ilvl w:val="0"/>
          <w:numId w:val="1"/>
        </w:numPr>
        <w:tabs>
          <w:tab w:val="left" w:pos="687"/>
        </w:tabs>
        <w:autoSpaceDE w:val="0"/>
        <w:autoSpaceDN w:val="0"/>
        <w:spacing w:after="0" w:line="240" w:lineRule="auto"/>
        <w:ind w:right="378"/>
        <w:contextualSpacing w:val="0"/>
        <w:rPr>
          <w:rFonts w:ascii="Arial" w:hAnsi="Arial" w:cs="Arial"/>
        </w:rPr>
      </w:pPr>
      <w:r w:rsidRPr="00A702FC">
        <w:rPr>
          <w:rFonts w:ascii="Arial" w:hAnsi="Arial" w:cs="Arial"/>
        </w:rPr>
        <w:t>the potential benefit and risks of the</w:t>
      </w:r>
      <w:r w:rsidRPr="00A702FC">
        <w:rPr>
          <w:rFonts w:ascii="Arial" w:hAnsi="Arial" w:cs="Arial"/>
          <w:spacing w:val="-9"/>
        </w:rPr>
        <w:t xml:space="preserve"> </w:t>
      </w:r>
      <w:r w:rsidRPr="00A702FC">
        <w:rPr>
          <w:rFonts w:ascii="Arial" w:hAnsi="Arial" w:cs="Arial"/>
        </w:rPr>
        <w:t>treatment</w:t>
      </w:r>
    </w:p>
    <w:p w14:paraId="700EAA4F" w14:textId="77777777" w:rsidR="004360AA" w:rsidRPr="00A702FC" w:rsidRDefault="004360AA" w:rsidP="008558A9">
      <w:pPr>
        <w:pStyle w:val="ListParagraph"/>
        <w:widowControl w:val="0"/>
        <w:numPr>
          <w:ilvl w:val="0"/>
          <w:numId w:val="1"/>
        </w:numPr>
        <w:tabs>
          <w:tab w:val="left" w:pos="687"/>
        </w:tabs>
        <w:autoSpaceDE w:val="0"/>
        <w:autoSpaceDN w:val="0"/>
        <w:spacing w:after="0" w:line="240" w:lineRule="auto"/>
        <w:ind w:right="378"/>
        <w:contextualSpacing w:val="0"/>
        <w:rPr>
          <w:rFonts w:ascii="Arial" w:hAnsi="Arial" w:cs="Arial"/>
        </w:rPr>
      </w:pPr>
      <w:r w:rsidRPr="00A702FC">
        <w:rPr>
          <w:rFonts w:ascii="Arial" w:hAnsi="Arial" w:cs="Arial"/>
        </w:rPr>
        <w:t>an estimate of cost of the treatment and the anticipated value for</w:t>
      </w:r>
      <w:r w:rsidRPr="00A702FC">
        <w:rPr>
          <w:rFonts w:ascii="Arial" w:hAnsi="Arial" w:cs="Arial"/>
          <w:spacing w:val="-17"/>
        </w:rPr>
        <w:t xml:space="preserve"> </w:t>
      </w:r>
      <w:r w:rsidRPr="00A702FC">
        <w:rPr>
          <w:rFonts w:ascii="Arial" w:hAnsi="Arial" w:cs="Arial"/>
        </w:rPr>
        <w:t>money</w:t>
      </w:r>
    </w:p>
    <w:p w14:paraId="7DA89B12" w14:textId="77777777" w:rsidR="004360AA" w:rsidRPr="00A702FC" w:rsidRDefault="004360AA" w:rsidP="008558A9">
      <w:pPr>
        <w:pStyle w:val="ListParagraph"/>
        <w:widowControl w:val="0"/>
        <w:numPr>
          <w:ilvl w:val="0"/>
          <w:numId w:val="1"/>
        </w:numPr>
        <w:autoSpaceDE w:val="0"/>
        <w:autoSpaceDN w:val="0"/>
        <w:spacing w:after="0" w:line="240" w:lineRule="auto"/>
        <w:contextualSpacing w:val="0"/>
        <w:rPr>
          <w:rFonts w:ascii="Arial" w:hAnsi="Arial" w:cs="Arial"/>
        </w:rPr>
      </w:pPr>
      <w:r w:rsidRPr="00A702FC">
        <w:rPr>
          <w:rFonts w:ascii="Arial" w:hAnsi="Arial" w:cs="Arial"/>
        </w:rPr>
        <w:t>the priority of the patient’s needs compared to other competing needs and unfunded developments.</w:t>
      </w:r>
    </w:p>
    <w:p w14:paraId="54C09657" w14:textId="77777777" w:rsidR="00702159" w:rsidRPr="00A702FC" w:rsidRDefault="00702159" w:rsidP="00877B92">
      <w:pPr>
        <w:widowControl w:val="0"/>
        <w:tabs>
          <w:tab w:val="left" w:pos="686"/>
          <w:tab w:val="left" w:pos="687"/>
        </w:tabs>
        <w:autoSpaceDE w:val="0"/>
        <w:autoSpaceDN w:val="0"/>
        <w:spacing w:after="0" w:line="266" w:lineRule="exact"/>
        <w:ind w:right="346"/>
      </w:pPr>
    </w:p>
    <w:p w14:paraId="0D6A2427" w14:textId="5AFDC6CD" w:rsidR="004360AA" w:rsidRPr="00A702FC" w:rsidRDefault="004360AA" w:rsidP="00877B92">
      <w:pPr>
        <w:widowControl w:val="0"/>
        <w:tabs>
          <w:tab w:val="left" w:pos="686"/>
          <w:tab w:val="left" w:pos="687"/>
        </w:tabs>
        <w:autoSpaceDE w:val="0"/>
        <w:autoSpaceDN w:val="0"/>
        <w:spacing w:after="0" w:line="266" w:lineRule="exact"/>
        <w:ind w:right="346"/>
        <w:rPr>
          <w:rFonts w:ascii="Arial" w:hAnsi="Arial" w:cs="Arial"/>
        </w:rPr>
      </w:pPr>
      <w:r w:rsidRPr="00A702FC">
        <w:rPr>
          <w:rFonts w:ascii="Arial" w:hAnsi="Arial" w:cs="Arial"/>
        </w:rPr>
        <w:t>The clinician will be expected to provide as much information as possible about the treatment, relevant research upon which the claim for biological plausibility of the treatment is based, and costs, as well as clinically relevant information on the patient. In addition, the clinician will identify the clinical markers and clinical outcomes that will be monitored to assess treatment</w:t>
      </w:r>
      <w:r w:rsidRPr="00A702FC">
        <w:rPr>
          <w:rFonts w:ascii="Arial" w:hAnsi="Arial" w:cs="Arial"/>
          <w:spacing w:val="-26"/>
        </w:rPr>
        <w:t xml:space="preserve"> </w:t>
      </w:r>
      <w:r w:rsidRPr="00A702FC">
        <w:rPr>
          <w:rFonts w:ascii="Arial" w:hAnsi="Arial" w:cs="Arial"/>
        </w:rPr>
        <w:t>response.</w:t>
      </w:r>
    </w:p>
    <w:p w14:paraId="3FE15606" w14:textId="77777777" w:rsidR="00877B92" w:rsidRPr="00A702FC" w:rsidRDefault="00877B92" w:rsidP="00877B92">
      <w:pPr>
        <w:widowControl w:val="0"/>
        <w:tabs>
          <w:tab w:val="left" w:pos="686"/>
          <w:tab w:val="left" w:pos="687"/>
        </w:tabs>
        <w:autoSpaceDE w:val="0"/>
        <w:autoSpaceDN w:val="0"/>
        <w:spacing w:after="0" w:line="266" w:lineRule="exact"/>
        <w:ind w:right="346"/>
      </w:pPr>
    </w:p>
    <w:p w14:paraId="3BF9A5DD" w14:textId="6A1BCF54" w:rsidR="004360AA" w:rsidRPr="00A702FC" w:rsidRDefault="004360AA" w:rsidP="00877B92">
      <w:pPr>
        <w:widowControl w:val="0"/>
        <w:tabs>
          <w:tab w:val="left" w:pos="686"/>
          <w:tab w:val="left" w:pos="687"/>
        </w:tabs>
        <w:autoSpaceDE w:val="0"/>
        <w:autoSpaceDN w:val="0"/>
        <w:spacing w:after="0" w:line="266" w:lineRule="exact"/>
        <w:ind w:right="346"/>
        <w:rPr>
          <w:rFonts w:ascii="Arial" w:hAnsi="Arial" w:cs="Arial"/>
        </w:rPr>
      </w:pPr>
      <w:r w:rsidRPr="00A702FC">
        <w:rPr>
          <w:rFonts w:ascii="Arial" w:hAnsi="Arial" w:cs="Arial"/>
        </w:rPr>
        <w:t xml:space="preserve">The options for consideration by </w:t>
      </w:r>
      <w:r w:rsidR="00136C4A">
        <w:rPr>
          <w:rFonts w:ascii="Arial" w:hAnsi="Arial" w:cs="Arial"/>
        </w:rPr>
        <w:t>Norfolk &amp; Waveney ICB</w:t>
      </w:r>
      <w:r w:rsidRPr="00A702FC">
        <w:rPr>
          <w:rFonts w:ascii="Arial" w:hAnsi="Arial" w:cs="Arial"/>
        </w:rPr>
        <w:t xml:space="preserve"> in these instances are, in principle;</w:t>
      </w:r>
      <w:r w:rsidRPr="00A702FC">
        <w:rPr>
          <w:rFonts w:ascii="Arial" w:hAnsi="Arial" w:cs="Arial"/>
        </w:rPr>
        <w:br/>
      </w:r>
    </w:p>
    <w:p w14:paraId="735CE3E0" w14:textId="77777777" w:rsidR="004360AA" w:rsidRPr="00A702FC" w:rsidRDefault="004360AA" w:rsidP="008558A9">
      <w:pPr>
        <w:pStyle w:val="ListParagraph"/>
        <w:widowControl w:val="0"/>
        <w:numPr>
          <w:ilvl w:val="0"/>
          <w:numId w:val="2"/>
        </w:numPr>
        <w:tabs>
          <w:tab w:val="left" w:pos="686"/>
          <w:tab w:val="left" w:pos="687"/>
        </w:tabs>
        <w:autoSpaceDE w:val="0"/>
        <w:autoSpaceDN w:val="0"/>
        <w:spacing w:after="0" w:line="266" w:lineRule="exact"/>
        <w:ind w:right="346"/>
        <w:contextualSpacing w:val="0"/>
        <w:rPr>
          <w:rFonts w:ascii="Arial" w:hAnsi="Arial" w:cs="Arial"/>
        </w:rPr>
      </w:pPr>
      <w:r w:rsidRPr="00A702FC">
        <w:rPr>
          <w:rFonts w:ascii="Arial" w:hAnsi="Arial" w:cs="Arial"/>
        </w:rPr>
        <w:t xml:space="preserve">Not to Fund </w:t>
      </w:r>
    </w:p>
    <w:p w14:paraId="4D9F0B59" w14:textId="058384B9" w:rsidR="004360AA" w:rsidRPr="00A702FC" w:rsidRDefault="004360AA" w:rsidP="008558A9">
      <w:pPr>
        <w:pStyle w:val="ListParagraph"/>
        <w:widowControl w:val="0"/>
        <w:numPr>
          <w:ilvl w:val="0"/>
          <w:numId w:val="2"/>
        </w:numPr>
        <w:tabs>
          <w:tab w:val="left" w:pos="686"/>
          <w:tab w:val="left" w:pos="687"/>
        </w:tabs>
        <w:autoSpaceDE w:val="0"/>
        <w:autoSpaceDN w:val="0"/>
        <w:spacing w:after="0" w:line="266" w:lineRule="exact"/>
        <w:ind w:right="346"/>
        <w:contextualSpacing w:val="0"/>
        <w:rPr>
          <w:rFonts w:ascii="Arial" w:hAnsi="Arial" w:cs="Arial"/>
        </w:rPr>
      </w:pPr>
      <w:r w:rsidRPr="00A702FC">
        <w:rPr>
          <w:rFonts w:ascii="Arial" w:hAnsi="Arial" w:cs="Arial"/>
        </w:rPr>
        <w:t xml:space="preserve">Fund on the condition that the patient enters a properly conducted </w:t>
      </w:r>
      <w:r w:rsidRPr="00A702FC">
        <w:rPr>
          <w:rFonts w:ascii="Arial" w:hAnsi="Arial" w:cs="Arial"/>
          <w:i/>
        </w:rPr>
        <w:t xml:space="preserve">‘n of 1’ </w:t>
      </w:r>
      <w:r w:rsidRPr="00A702FC">
        <w:rPr>
          <w:rFonts w:ascii="Arial" w:hAnsi="Arial" w:cs="Arial"/>
        </w:rPr>
        <w:t xml:space="preserve">trial. </w:t>
      </w:r>
      <w:r w:rsidR="00AF2A76" w:rsidRPr="00360501">
        <w:rPr>
          <w:rFonts w:ascii="Arial" w:hAnsi="Arial" w:cs="Arial"/>
        </w:rPr>
        <w:t>In practice this would be challenging due to the need for expert advice and support on design, set-up, management and analysis of such a trial, as well as additional funding considerations</w:t>
      </w:r>
      <w:r w:rsidRPr="00A702FC">
        <w:rPr>
          <w:rFonts w:ascii="Arial" w:hAnsi="Arial" w:cs="Arial"/>
        </w:rPr>
        <w:t>.</w:t>
      </w:r>
    </w:p>
    <w:p w14:paraId="698342A6" w14:textId="77777777" w:rsidR="004360AA" w:rsidRPr="00A702FC" w:rsidRDefault="004360AA" w:rsidP="008558A9">
      <w:pPr>
        <w:pStyle w:val="ListParagraph"/>
        <w:widowControl w:val="0"/>
        <w:numPr>
          <w:ilvl w:val="0"/>
          <w:numId w:val="2"/>
        </w:numPr>
        <w:tabs>
          <w:tab w:val="left" w:pos="686"/>
          <w:tab w:val="left" w:pos="687"/>
        </w:tabs>
        <w:autoSpaceDE w:val="0"/>
        <w:autoSpaceDN w:val="0"/>
        <w:spacing w:after="0" w:line="266" w:lineRule="exact"/>
        <w:ind w:right="346"/>
        <w:contextualSpacing w:val="0"/>
        <w:rPr>
          <w:rFonts w:ascii="Arial" w:hAnsi="Arial" w:cs="Arial"/>
        </w:rPr>
      </w:pPr>
      <w:r w:rsidRPr="00A702FC">
        <w:rPr>
          <w:rFonts w:ascii="Arial" w:hAnsi="Arial" w:cs="Arial"/>
        </w:rPr>
        <w:t>Fund a trial of treatment but make ongoing treatment subject to the demonstration of clinical benefit for the individual patient using criteria agreed in advance with the clinical team.</w:t>
      </w:r>
    </w:p>
    <w:p w14:paraId="6BA0DB07" w14:textId="5FC7F859" w:rsidR="004360AA" w:rsidRPr="00A702FC" w:rsidRDefault="004360AA" w:rsidP="008558A9">
      <w:pPr>
        <w:pStyle w:val="ListParagraph"/>
        <w:widowControl w:val="0"/>
        <w:numPr>
          <w:ilvl w:val="0"/>
          <w:numId w:val="2"/>
        </w:numPr>
        <w:tabs>
          <w:tab w:val="left" w:pos="686"/>
          <w:tab w:val="left" w:pos="687"/>
        </w:tabs>
        <w:autoSpaceDE w:val="0"/>
        <w:autoSpaceDN w:val="0"/>
        <w:spacing w:after="0" w:line="266" w:lineRule="exact"/>
        <w:ind w:right="346"/>
        <w:contextualSpacing w:val="0"/>
        <w:rPr>
          <w:rFonts w:ascii="Arial" w:hAnsi="Arial" w:cs="Arial"/>
        </w:rPr>
      </w:pPr>
      <w:r w:rsidRPr="00A702FC">
        <w:rPr>
          <w:rFonts w:ascii="Arial" w:hAnsi="Arial" w:cs="Arial"/>
        </w:rPr>
        <w:t xml:space="preserve">Fund with no evaluation requirements, although an outcomes report </w:t>
      </w:r>
      <w:r w:rsidR="00AF2A76" w:rsidRPr="00A702FC">
        <w:rPr>
          <w:rFonts w:ascii="Arial" w:hAnsi="Arial" w:cs="Arial"/>
        </w:rPr>
        <w:t>should be requested from the</w:t>
      </w:r>
      <w:r w:rsidR="00AF2A76" w:rsidRPr="00A702FC">
        <w:rPr>
          <w:rFonts w:ascii="Arial" w:hAnsi="Arial" w:cs="Arial"/>
          <w:spacing w:val="-14"/>
        </w:rPr>
        <w:t xml:space="preserve"> </w:t>
      </w:r>
      <w:r w:rsidR="00AF2A76" w:rsidRPr="00A702FC">
        <w:rPr>
          <w:rFonts w:ascii="Arial" w:hAnsi="Arial" w:cs="Arial"/>
        </w:rPr>
        <w:t>clinician</w:t>
      </w:r>
      <w:r w:rsidR="00AF2A76" w:rsidRPr="00A702FC" w:rsidDel="00AF2A76">
        <w:rPr>
          <w:rFonts w:ascii="Arial" w:hAnsi="Arial" w:cs="Arial"/>
        </w:rPr>
        <w:t xml:space="preserve"> </w:t>
      </w:r>
    </w:p>
    <w:p w14:paraId="14FF9DFF" w14:textId="546A0A19" w:rsidR="004360AA" w:rsidRDefault="004360AA" w:rsidP="004360AA">
      <w:pPr>
        <w:pStyle w:val="ListParagraph"/>
        <w:tabs>
          <w:tab w:val="left" w:pos="686"/>
          <w:tab w:val="left" w:pos="687"/>
        </w:tabs>
        <w:spacing w:line="266" w:lineRule="exact"/>
        <w:ind w:left="686" w:right="346"/>
      </w:pPr>
    </w:p>
    <w:p w14:paraId="44D3E843" w14:textId="4BEC8D9D" w:rsidR="004360AA" w:rsidRPr="00935DB6" w:rsidRDefault="004360AA" w:rsidP="00877B92">
      <w:pPr>
        <w:widowControl w:val="0"/>
        <w:tabs>
          <w:tab w:val="left" w:pos="686"/>
          <w:tab w:val="left" w:pos="687"/>
        </w:tabs>
        <w:autoSpaceDE w:val="0"/>
        <w:autoSpaceDN w:val="0"/>
        <w:spacing w:after="0" w:line="266" w:lineRule="exact"/>
        <w:ind w:right="346"/>
        <w:rPr>
          <w:rFonts w:ascii="Arial" w:hAnsi="Arial" w:cs="Arial"/>
        </w:rPr>
      </w:pPr>
      <w:r w:rsidRPr="00A702FC">
        <w:rPr>
          <w:rFonts w:ascii="Arial" w:hAnsi="Arial" w:cs="Arial"/>
        </w:rPr>
        <w:t xml:space="preserve">In all instances, contribution to any relevant clinical database or population registry which is operating will be an additional condition before </w:t>
      </w:r>
      <w:r w:rsidR="00136C4A">
        <w:rPr>
          <w:rFonts w:ascii="Arial" w:hAnsi="Arial" w:cs="Arial"/>
        </w:rPr>
        <w:t>Norfolk &amp; Waveney ICB</w:t>
      </w:r>
      <w:r w:rsidRPr="00A702FC">
        <w:rPr>
          <w:rFonts w:ascii="Arial" w:hAnsi="Arial" w:cs="Arial"/>
        </w:rPr>
        <w:t xml:space="preserve"> gives approval to funding for the</w:t>
      </w:r>
      <w:r w:rsidRPr="00A702FC">
        <w:rPr>
          <w:rFonts w:ascii="Arial" w:hAnsi="Arial" w:cs="Arial"/>
          <w:spacing w:val="-10"/>
        </w:rPr>
        <w:t xml:space="preserve"> </w:t>
      </w:r>
      <w:proofErr w:type="gramStart"/>
      <w:r w:rsidRPr="00A702FC">
        <w:rPr>
          <w:rFonts w:ascii="Arial" w:hAnsi="Arial" w:cs="Arial"/>
        </w:rPr>
        <w:t>treatment</w:t>
      </w:r>
      <w:proofErr w:type="gramEnd"/>
    </w:p>
    <w:p w14:paraId="7613572F" w14:textId="3AD48ED6" w:rsidR="00702159" w:rsidRDefault="00702159" w:rsidP="00877B92">
      <w:pPr>
        <w:widowControl w:val="0"/>
        <w:tabs>
          <w:tab w:val="left" w:pos="686"/>
          <w:tab w:val="left" w:pos="687"/>
        </w:tabs>
        <w:autoSpaceDE w:val="0"/>
        <w:autoSpaceDN w:val="0"/>
        <w:spacing w:after="0" w:line="266" w:lineRule="exact"/>
        <w:ind w:right="346"/>
      </w:pPr>
    </w:p>
    <w:p w14:paraId="0AD74E27" w14:textId="77777777" w:rsidR="00114BE4" w:rsidRDefault="00114BE4" w:rsidP="00877B92">
      <w:pPr>
        <w:widowControl w:val="0"/>
        <w:tabs>
          <w:tab w:val="left" w:pos="686"/>
          <w:tab w:val="left" w:pos="687"/>
        </w:tabs>
        <w:autoSpaceDE w:val="0"/>
        <w:autoSpaceDN w:val="0"/>
        <w:spacing w:after="0" w:line="266" w:lineRule="exact"/>
        <w:ind w:right="346"/>
      </w:pPr>
    </w:p>
    <w:p w14:paraId="2B064DE0" w14:textId="1B209353" w:rsidR="003C5C87" w:rsidRPr="00A702FC" w:rsidRDefault="003C5C87" w:rsidP="003C5C87">
      <w:pPr>
        <w:widowControl w:val="0"/>
        <w:tabs>
          <w:tab w:val="left" w:pos="808"/>
          <w:tab w:val="left" w:pos="809"/>
        </w:tabs>
        <w:autoSpaceDE w:val="0"/>
        <w:autoSpaceDN w:val="0"/>
        <w:spacing w:after="0" w:line="240" w:lineRule="auto"/>
        <w:ind w:right="809"/>
        <w:rPr>
          <w:color w:val="4472C4" w:themeColor="accent5"/>
        </w:rPr>
      </w:pPr>
      <w:r>
        <w:rPr>
          <w:b/>
          <w:bCs/>
          <w:color w:val="4472C4" w:themeColor="accent5"/>
          <w:sz w:val="28"/>
          <w:szCs w:val="28"/>
        </w:rPr>
        <w:t>6</w:t>
      </w:r>
      <w:r w:rsidRPr="00A702FC">
        <w:rPr>
          <w:b/>
          <w:bCs/>
          <w:color w:val="4472C4" w:themeColor="accent5"/>
          <w:sz w:val="28"/>
          <w:szCs w:val="28"/>
        </w:rPr>
        <w:t xml:space="preserve">.  </w:t>
      </w:r>
      <w:bookmarkStart w:id="5" w:name="_Hlk89338907"/>
      <w:r>
        <w:rPr>
          <w:b/>
          <w:bCs/>
          <w:color w:val="4472C4" w:themeColor="accent5"/>
          <w:sz w:val="28"/>
          <w:szCs w:val="28"/>
        </w:rPr>
        <w:t>Funding potentially important</w:t>
      </w:r>
      <w:r w:rsidRPr="00A702FC">
        <w:rPr>
          <w:b/>
          <w:bCs/>
          <w:color w:val="4472C4" w:themeColor="accent5"/>
          <w:sz w:val="28"/>
          <w:szCs w:val="28"/>
        </w:rPr>
        <w:t xml:space="preserve"> treatment</w:t>
      </w:r>
      <w:r>
        <w:rPr>
          <w:b/>
          <w:bCs/>
          <w:color w:val="4472C4" w:themeColor="accent5"/>
          <w:sz w:val="28"/>
          <w:szCs w:val="28"/>
        </w:rPr>
        <w:t>s</w:t>
      </w:r>
      <w:r w:rsidRPr="00A702FC">
        <w:rPr>
          <w:b/>
          <w:bCs/>
          <w:color w:val="4472C4" w:themeColor="accent5"/>
          <w:sz w:val="28"/>
          <w:szCs w:val="28"/>
        </w:rPr>
        <w:t xml:space="preserve"> </w:t>
      </w:r>
      <w:bookmarkEnd w:id="5"/>
      <w:r w:rsidR="00766462">
        <w:rPr>
          <w:b/>
          <w:bCs/>
          <w:color w:val="4472C4" w:themeColor="accent5"/>
          <w:sz w:val="28"/>
          <w:szCs w:val="28"/>
        </w:rPr>
        <w:t xml:space="preserve">but where there is minimal evidence and </w:t>
      </w:r>
      <w:r w:rsidR="00661C04">
        <w:rPr>
          <w:b/>
          <w:bCs/>
          <w:color w:val="4472C4" w:themeColor="accent5"/>
          <w:sz w:val="28"/>
          <w:szCs w:val="28"/>
        </w:rPr>
        <w:t xml:space="preserve">/ or concerns remain about </w:t>
      </w:r>
      <w:r w:rsidR="009B498A">
        <w:rPr>
          <w:b/>
          <w:bCs/>
          <w:color w:val="4472C4" w:themeColor="accent5"/>
          <w:sz w:val="28"/>
          <w:szCs w:val="28"/>
        </w:rPr>
        <w:t>the value of the treatment</w:t>
      </w:r>
      <w:r w:rsidRPr="00A702FC">
        <w:rPr>
          <w:b/>
          <w:bCs/>
          <w:color w:val="4472C4" w:themeColor="accent5"/>
          <w:sz w:val="28"/>
          <w:szCs w:val="28"/>
        </w:rPr>
        <w:br/>
      </w:r>
    </w:p>
    <w:p w14:paraId="0CA99C90" w14:textId="77AC8C9C" w:rsidR="009B498A" w:rsidRDefault="00BB6C94" w:rsidP="00164A2E">
      <w:pPr>
        <w:pStyle w:val="BodyText"/>
        <w:rPr>
          <w:rFonts w:ascii="Arial" w:hAnsi="Arial" w:cs="Arial"/>
          <w:b/>
          <w:color w:val="4472C4" w:themeColor="accent5"/>
        </w:rPr>
      </w:pPr>
      <w:r>
        <w:rPr>
          <w:rFonts w:ascii="Arial" w:hAnsi="Arial" w:cs="Arial"/>
          <w:b/>
          <w:color w:val="4472C4" w:themeColor="accent5"/>
        </w:rPr>
        <w:t>6.1</w:t>
      </w:r>
      <w:r w:rsidR="009B498A" w:rsidRPr="00E92E99">
        <w:rPr>
          <w:rFonts w:ascii="Arial" w:hAnsi="Arial" w:cs="Arial"/>
          <w:b/>
          <w:color w:val="4472C4" w:themeColor="accent5"/>
        </w:rPr>
        <w:t xml:space="preserve"> Treatments for which there </w:t>
      </w:r>
      <w:r w:rsidR="009B498A">
        <w:rPr>
          <w:rFonts w:ascii="Arial" w:hAnsi="Arial" w:cs="Arial"/>
          <w:b/>
          <w:color w:val="4472C4" w:themeColor="accent5"/>
        </w:rPr>
        <w:t>is minimal evidence of effectiveness and no current research options</w:t>
      </w:r>
    </w:p>
    <w:p w14:paraId="185E36A1" w14:textId="77777777" w:rsidR="009B498A" w:rsidRDefault="009B498A" w:rsidP="00164A2E">
      <w:pPr>
        <w:pStyle w:val="BodyText"/>
        <w:rPr>
          <w:rFonts w:ascii="Arial" w:hAnsi="Arial" w:cs="Arial"/>
          <w:b/>
          <w:color w:val="4472C4" w:themeColor="accent5"/>
        </w:rPr>
      </w:pPr>
    </w:p>
    <w:p w14:paraId="5F8429B0" w14:textId="264EFB13" w:rsidR="00935DB6" w:rsidRDefault="00766462" w:rsidP="00164A2E">
      <w:pPr>
        <w:pStyle w:val="BodyText"/>
        <w:rPr>
          <w:rFonts w:ascii="Arial" w:hAnsi="Arial" w:cs="Arial"/>
        </w:rPr>
      </w:pPr>
      <w:r w:rsidRPr="00A702FC">
        <w:rPr>
          <w:rFonts w:ascii="Arial" w:hAnsi="Arial" w:cs="Arial"/>
        </w:rPr>
        <w:t xml:space="preserve">Very rarely those funding healthcare services may consider an experimental treatment so important that they wish to see a publicly funded trial established. </w:t>
      </w:r>
      <w:r>
        <w:rPr>
          <w:rFonts w:ascii="Arial" w:hAnsi="Arial" w:cs="Arial"/>
        </w:rPr>
        <w:t>In</w:t>
      </w:r>
      <w:r w:rsidRPr="00A702FC">
        <w:rPr>
          <w:rFonts w:ascii="Arial" w:hAnsi="Arial" w:cs="Arial"/>
        </w:rPr>
        <w:t xml:space="preserve"> the first instance, advice should be sought from the National Institute of Health Researc</w:t>
      </w:r>
      <w:r>
        <w:rPr>
          <w:rFonts w:ascii="Arial" w:hAnsi="Arial" w:cs="Arial"/>
        </w:rPr>
        <w:t xml:space="preserve">h </w:t>
      </w:r>
      <w:r w:rsidRPr="00FA3DCC">
        <w:rPr>
          <w:rFonts w:ascii="Arial" w:hAnsi="Arial" w:cs="Arial"/>
        </w:rPr>
        <w:t>(</w:t>
      </w:r>
      <w:hyperlink r:id="rId15" w:history="1">
        <w:r w:rsidRPr="000E7969">
          <w:rPr>
            <w:rStyle w:val="Hyperlink"/>
            <w:rFonts w:ascii="Arial" w:hAnsi="Arial" w:cs="Arial"/>
          </w:rPr>
          <w:t>https://www.nihr.ac.uk/partners-and-industry/charities/identify-research-needs.htm</w:t>
        </w:r>
      </w:hyperlink>
      <w:r w:rsidRPr="000E7969">
        <w:rPr>
          <w:rFonts w:ascii="Arial" w:hAnsi="Arial" w:cs="Arial"/>
        </w:rPr>
        <w:t>)</w:t>
      </w:r>
      <w:r w:rsidRPr="000E7969">
        <w:rPr>
          <w:rFonts w:ascii="Arial" w:hAnsi="Arial" w:cs="Arial"/>
          <w:color w:val="000000"/>
        </w:rPr>
        <w:t xml:space="preserve"> </w:t>
      </w:r>
      <w:r>
        <w:rPr>
          <w:rFonts w:ascii="Arial" w:hAnsi="Arial" w:cs="Arial"/>
          <w:color w:val="000000"/>
        </w:rPr>
        <w:t>whereby topics of interest for research can be raised.</w:t>
      </w:r>
      <w:r w:rsidRPr="008F6716">
        <w:rPr>
          <w:rFonts w:ascii="Arial" w:hAnsi="Arial" w:cs="Arial"/>
        </w:rPr>
        <w:t xml:space="preserve"> </w:t>
      </w:r>
      <w:r>
        <w:rPr>
          <w:rFonts w:ascii="Arial" w:hAnsi="Arial" w:cs="Arial"/>
        </w:rPr>
        <w:t xml:space="preserve">  </w:t>
      </w:r>
      <w:r w:rsidR="00136C4A">
        <w:rPr>
          <w:rFonts w:ascii="Arial" w:hAnsi="Arial" w:cs="Arial"/>
        </w:rPr>
        <w:t>Norfolk &amp; Waveney ICB</w:t>
      </w:r>
      <w:r w:rsidR="00185C22">
        <w:rPr>
          <w:rFonts w:ascii="Arial" w:hAnsi="Arial" w:cs="Arial"/>
        </w:rPr>
        <w:t xml:space="preserve"> </w:t>
      </w:r>
      <w:proofErr w:type="gramStart"/>
      <w:r w:rsidR="00185C22">
        <w:rPr>
          <w:rFonts w:ascii="Arial" w:hAnsi="Arial" w:cs="Arial"/>
        </w:rPr>
        <w:t>may</w:t>
      </w:r>
      <w:proofErr w:type="gramEnd"/>
      <w:r w:rsidR="00185C22">
        <w:rPr>
          <w:rFonts w:ascii="Arial" w:hAnsi="Arial" w:cs="Arial"/>
        </w:rPr>
        <w:t xml:space="preserve"> however, </w:t>
      </w:r>
      <w:r>
        <w:rPr>
          <w:rFonts w:ascii="Arial" w:hAnsi="Arial" w:cs="Arial"/>
        </w:rPr>
        <w:t>consider</w:t>
      </w:r>
      <w:r w:rsidRPr="00A702FC">
        <w:rPr>
          <w:rFonts w:ascii="Arial" w:hAnsi="Arial" w:cs="Arial"/>
        </w:rPr>
        <w:t xml:space="preserve"> initiat</w:t>
      </w:r>
      <w:r>
        <w:rPr>
          <w:rFonts w:ascii="Arial" w:hAnsi="Arial" w:cs="Arial"/>
        </w:rPr>
        <w:t>ing</w:t>
      </w:r>
      <w:r w:rsidRPr="00A702FC">
        <w:rPr>
          <w:rFonts w:ascii="Arial" w:hAnsi="Arial" w:cs="Arial"/>
        </w:rPr>
        <w:t xml:space="preserve"> </w:t>
      </w:r>
      <w:r w:rsidR="00662ABB">
        <w:rPr>
          <w:rFonts w:ascii="Arial" w:hAnsi="Arial" w:cs="Arial"/>
        </w:rPr>
        <w:t>(</w:t>
      </w:r>
      <w:r w:rsidRPr="00A702FC">
        <w:rPr>
          <w:rFonts w:ascii="Arial" w:hAnsi="Arial" w:cs="Arial"/>
        </w:rPr>
        <w:t xml:space="preserve">and </w:t>
      </w:r>
      <w:r w:rsidR="00662ABB">
        <w:rPr>
          <w:rFonts w:ascii="Arial" w:hAnsi="Arial" w:cs="Arial"/>
        </w:rPr>
        <w:t xml:space="preserve">possibly </w:t>
      </w:r>
      <w:r w:rsidRPr="00A702FC">
        <w:rPr>
          <w:rFonts w:ascii="Arial" w:hAnsi="Arial" w:cs="Arial"/>
        </w:rPr>
        <w:t>fund</w:t>
      </w:r>
      <w:r>
        <w:rPr>
          <w:rFonts w:ascii="Arial" w:hAnsi="Arial" w:cs="Arial"/>
        </w:rPr>
        <w:t>ing</w:t>
      </w:r>
      <w:r w:rsidR="00662ABB">
        <w:rPr>
          <w:rFonts w:ascii="Arial" w:hAnsi="Arial" w:cs="Arial"/>
        </w:rPr>
        <w:t>)</w:t>
      </w:r>
      <w:r w:rsidRPr="00A702FC">
        <w:rPr>
          <w:rFonts w:ascii="Arial" w:hAnsi="Arial" w:cs="Arial"/>
        </w:rPr>
        <w:t xml:space="preserve"> the whole trial themselves.</w:t>
      </w:r>
      <w:r>
        <w:rPr>
          <w:rFonts w:ascii="Arial" w:hAnsi="Arial" w:cs="Arial"/>
        </w:rPr>
        <w:t xml:space="preserve">  Expert advice on design and development of trials</w:t>
      </w:r>
      <w:r w:rsidR="00662ABB">
        <w:rPr>
          <w:rFonts w:ascii="Arial" w:hAnsi="Arial" w:cs="Arial"/>
        </w:rPr>
        <w:t>, and applying for funding</w:t>
      </w:r>
      <w:r>
        <w:rPr>
          <w:rFonts w:ascii="Arial" w:hAnsi="Arial" w:cs="Arial"/>
        </w:rPr>
        <w:t xml:space="preserve"> will, in this instance need to be sought. </w:t>
      </w:r>
    </w:p>
    <w:p w14:paraId="3D0D2B3C" w14:textId="77777777" w:rsidR="00164A2E" w:rsidRPr="00BB6C94" w:rsidRDefault="00164A2E" w:rsidP="00BB6C94">
      <w:pPr>
        <w:pStyle w:val="BodyText"/>
        <w:rPr>
          <w:rFonts w:ascii="Arial" w:hAnsi="Arial" w:cs="Arial"/>
        </w:rPr>
      </w:pPr>
    </w:p>
    <w:p w14:paraId="08694B3F" w14:textId="70203A49" w:rsidR="004360AA" w:rsidRPr="00494407" w:rsidRDefault="00BB6C94" w:rsidP="00BB6C94">
      <w:pPr>
        <w:tabs>
          <w:tab w:val="left" w:pos="686"/>
          <w:tab w:val="left" w:pos="687"/>
        </w:tabs>
        <w:spacing w:line="266" w:lineRule="exact"/>
        <w:ind w:right="346"/>
      </w:pPr>
      <w:r>
        <w:rPr>
          <w:rFonts w:ascii="Arial" w:hAnsi="Arial" w:cs="Arial"/>
          <w:b/>
          <w:color w:val="4472C4" w:themeColor="accent5"/>
        </w:rPr>
        <w:t>6.</w:t>
      </w:r>
      <w:r w:rsidR="009B498A">
        <w:rPr>
          <w:rFonts w:ascii="Arial" w:hAnsi="Arial" w:cs="Arial"/>
          <w:b/>
          <w:color w:val="4472C4" w:themeColor="accent5"/>
        </w:rPr>
        <w:t>2</w:t>
      </w:r>
      <w:r w:rsidR="00A70C7D" w:rsidRPr="003F7AB2">
        <w:rPr>
          <w:rFonts w:ascii="Arial" w:hAnsi="Arial" w:cs="Arial"/>
          <w:b/>
          <w:color w:val="4472C4" w:themeColor="accent5"/>
        </w:rPr>
        <w:t xml:space="preserve"> </w:t>
      </w:r>
      <w:r w:rsidR="004360AA" w:rsidRPr="003F7AB2">
        <w:rPr>
          <w:rFonts w:ascii="Arial" w:hAnsi="Arial" w:cs="Arial"/>
          <w:b/>
          <w:color w:val="4472C4" w:themeColor="accent5"/>
        </w:rPr>
        <w:t xml:space="preserve">Treatments for which there are adequate </w:t>
      </w:r>
      <w:r w:rsidR="00D970F1" w:rsidRPr="003F7AB2">
        <w:rPr>
          <w:rFonts w:ascii="Arial" w:hAnsi="Arial" w:cs="Arial"/>
          <w:b/>
          <w:color w:val="4472C4" w:themeColor="accent5"/>
        </w:rPr>
        <w:t>trials,</w:t>
      </w:r>
      <w:r w:rsidR="004360AA" w:rsidRPr="003F7AB2">
        <w:rPr>
          <w:rFonts w:ascii="Arial" w:hAnsi="Arial" w:cs="Arial"/>
          <w:b/>
          <w:color w:val="4472C4" w:themeColor="accent5"/>
        </w:rPr>
        <w:t xml:space="preserve"> and which have demonstrated effectiveness but</w:t>
      </w:r>
      <w:r w:rsidR="004360AA" w:rsidRPr="003F7AB2">
        <w:rPr>
          <w:b/>
          <w:color w:val="4472C4" w:themeColor="accent5"/>
        </w:rPr>
        <w:t xml:space="preserve"> </w:t>
      </w:r>
      <w:r w:rsidR="004360AA" w:rsidRPr="003F7AB2">
        <w:rPr>
          <w:rFonts w:ascii="Arial" w:hAnsi="Arial" w:cs="Arial"/>
          <w:b/>
          <w:color w:val="4472C4" w:themeColor="accent5"/>
        </w:rPr>
        <w:t>for which concerns remain over the true value of the treatment</w:t>
      </w:r>
    </w:p>
    <w:p w14:paraId="4A785919" w14:textId="502CF0F0" w:rsidR="004360AA" w:rsidRPr="003F7AB2" w:rsidRDefault="004360AA" w:rsidP="00CD30AC">
      <w:pPr>
        <w:pStyle w:val="BodyText"/>
        <w:ind w:right="302"/>
        <w:rPr>
          <w:rFonts w:ascii="Arial" w:hAnsi="Arial" w:cs="Arial"/>
        </w:rPr>
      </w:pPr>
      <w:r w:rsidRPr="003F7AB2">
        <w:rPr>
          <w:rFonts w:ascii="Arial" w:hAnsi="Arial" w:cs="Arial"/>
        </w:rPr>
        <w:t xml:space="preserve">It is </w:t>
      </w:r>
      <w:r w:rsidR="00662ABB" w:rsidRPr="00494407">
        <w:rPr>
          <w:rFonts w:ascii="Arial" w:hAnsi="Arial" w:cs="Arial"/>
        </w:rPr>
        <w:t>possible</w:t>
      </w:r>
      <w:r w:rsidRPr="003F7AB2">
        <w:rPr>
          <w:rFonts w:ascii="Arial" w:hAnsi="Arial" w:cs="Arial"/>
        </w:rPr>
        <w:t xml:space="preserve"> to have a situation where a treatment is supported by reasonably good trials</w:t>
      </w:r>
      <w:r w:rsidR="00A70C7D" w:rsidRPr="003F7AB2">
        <w:rPr>
          <w:rFonts w:ascii="Arial" w:hAnsi="Arial" w:cs="Arial"/>
        </w:rPr>
        <w:t>,</w:t>
      </w:r>
      <w:r w:rsidRPr="003F7AB2">
        <w:rPr>
          <w:rFonts w:ascii="Arial" w:hAnsi="Arial" w:cs="Arial"/>
        </w:rPr>
        <w:t xml:space="preserve"> but important questions </w:t>
      </w:r>
      <w:r w:rsidR="00A70C7D" w:rsidRPr="003F7AB2">
        <w:rPr>
          <w:rFonts w:ascii="Arial" w:hAnsi="Arial" w:cs="Arial"/>
        </w:rPr>
        <w:t>remain</w:t>
      </w:r>
      <w:r w:rsidRPr="003F7AB2">
        <w:rPr>
          <w:rFonts w:ascii="Arial" w:hAnsi="Arial" w:cs="Arial"/>
        </w:rPr>
        <w:t xml:space="preserve"> about the treatment</w:t>
      </w:r>
      <w:r w:rsidR="00662ABB" w:rsidRPr="00BB6C94">
        <w:rPr>
          <w:rFonts w:ascii="Arial" w:hAnsi="Arial" w:cs="Arial"/>
        </w:rPr>
        <w:t xml:space="preserve"> and how best to implement</w:t>
      </w:r>
      <w:r w:rsidRPr="003F7AB2">
        <w:rPr>
          <w:rFonts w:ascii="Arial" w:hAnsi="Arial" w:cs="Arial"/>
        </w:rPr>
        <w:t xml:space="preserve">. In these </w:t>
      </w:r>
      <w:r w:rsidR="00A70C7D" w:rsidRPr="003F7AB2">
        <w:rPr>
          <w:rFonts w:ascii="Arial" w:hAnsi="Arial" w:cs="Arial"/>
        </w:rPr>
        <w:t>instances,</w:t>
      </w:r>
      <w:r w:rsidRPr="003F7AB2">
        <w:rPr>
          <w:rFonts w:ascii="Arial" w:hAnsi="Arial" w:cs="Arial"/>
        </w:rPr>
        <w:t xml:space="preserve"> the requirement for ongoing evaluation is legitimate. </w:t>
      </w:r>
    </w:p>
    <w:p w14:paraId="05FEEA2E" w14:textId="77777777" w:rsidR="004360AA" w:rsidRPr="003F7AB2" w:rsidRDefault="004360AA" w:rsidP="004360AA">
      <w:pPr>
        <w:pStyle w:val="BodyText"/>
        <w:spacing w:before="10"/>
        <w:rPr>
          <w:rFonts w:ascii="Arial" w:hAnsi="Arial" w:cs="Arial"/>
          <w:sz w:val="21"/>
        </w:rPr>
      </w:pPr>
    </w:p>
    <w:p w14:paraId="22A49713" w14:textId="6D1E109D" w:rsidR="004360AA" w:rsidRPr="003F7AB2" w:rsidRDefault="004360AA" w:rsidP="00CD30AC">
      <w:pPr>
        <w:pStyle w:val="BodyText"/>
        <w:ind w:right="568"/>
        <w:rPr>
          <w:rFonts w:ascii="Arial" w:hAnsi="Arial" w:cs="Arial"/>
        </w:rPr>
      </w:pPr>
      <w:r w:rsidRPr="003F7AB2">
        <w:rPr>
          <w:rFonts w:ascii="Arial" w:hAnsi="Arial" w:cs="Arial"/>
        </w:rPr>
        <w:t xml:space="preserve">Issues that might result in </w:t>
      </w:r>
      <w:r w:rsidR="00136C4A">
        <w:rPr>
          <w:rFonts w:ascii="Arial" w:hAnsi="Arial" w:cs="Arial"/>
        </w:rPr>
        <w:t>Norfolk &amp; Waveney ICB</w:t>
      </w:r>
      <w:r w:rsidRPr="003F7AB2">
        <w:rPr>
          <w:rFonts w:ascii="Arial" w:hAnsi="Arial" w:cs="Arial"/>
        </w:rPr>
        <w:t xml:space="preserve"> feeling that a treatment should only be made available if there is ongoing evaluation include but are not limited to:</w:t>
      </w:r>
    </w:p>
    <w:p w14:paraId="1F446FEC" w14:textId="6F198F3E" w:rsidR="004360AA" w:rsidRPr="003F7AB2" w:rsidRDefault="004360AA" w:rsidP="008558A9">
      <w:pPr>
        <w:pStyle w:val="BodyText"/>
        <w:numPr>
          <w:ilvl w:val="0"/>
          <w:numId w:val="9"/>
        </w:numPr>
        <w:ind w:right="568"/>
        <w:rPr>
          <w:rFonts w:ascii="Arial" w:hAnsi="Arial" w:cs="Arial"/>
        </w:rPr>
      </w:pPr>
      <w:r w:rsidRPr="003F7AB2">
        <w:rPr>
          <w:rFonts w:ascii="Arial" w:hAnsi="Arial" w:cs="Arial"/>
        </w:rPr>
        <w:t xml:space="preserve">Where </w:t>
      </w:r>
      <w:r w:rsidR="00662ABB" w:rsidRPr="00BB6C94">
        <w:rPr>
          <w:rFonts w:ascii="Arial" w:hAnsi="Arial" w:cs="Arial"/>
        </w:rPr>
        <w:t xml:space="preserve">concerns remain about the </w:t>
      </w:r>
      <w:r w:rsidRPr="003F7AB2">
        <w:rPr>
          <w:rFonts w:ascii="Arial" w:hAnsi="Arial" w:cs="Arial"/>
        </w:rPr>
        <w:t>nature of the benefit and/or</w:t>
      </w:r>
      <w:r w:rsidRPr="003F7AB2">
        <w:rPr>
          <w:rFonts w:ascii="Arial" w:hAnsi="Arial" w:cs="Arial"/>
          <w:spacing w:val="-19"/>
        </w:rPr>
        <w:t xml:space="preserve"> </w:t>
      </w:r>
      <w:r w:rsidRPr="003F7AB2">
        <w:rPr>
          <w:rFonts w:ascii="Arial" w:hAnsi="Arial" w:cs="Arial"/>
        </w:rPr>
        <w:t>risks</w:t>
      </w:r>
    </w:p>
    <w:p w14:paraId="1F86772B" w14:textId="77777777" w:rsidR="004360AA" w:rsidRPr="003F7AB2" w:rsidRDefault="004360AA" w:rsidP="008558A9">
      <w:pPr>
        <w:pStyle w:val="BodyText"/>
        <w:numPr>
          <w:ilvl w:val="0"/>
          <w:numId w:val="9"/>
        </w:numPr>
        <w:ind w:right="568"/>
        <w:rPr>
          <w:rFonts w:ascii="Arial" w:hAnsi="Arial" w:cs="Arial"/>
        </w:rPr>
      </w:pPr>
      <w:r w:rsidRPr="003F7AB2">
        <w:rPr>
          <w:rFonts w:ascii="Arial" w:hAnsi="Arial" w:cs="Arial"/>
        </w:rPr>
        <w:t>Where a treatment’s true place in management has yet to be</w:t>
      </w:r>
      <w:r w:rsidRPr="003F7AB2">
        <w:rPr>
          <w:rFonts w:ascii="Arial" w:hAnsi="Arial" w:cs="Arial"/>
          <w:spacing w:val="-15"/>
        </w:rPr>
        <w:t xml:space="preserve"> </w:t>
      </w:r>
      <w:r w:rsidRPr="003F7AB2">
        <w:rPr>
          <w:rFonts w:ascii="Arial" w:hAnsi="Arial" w:cs="Arial"/>
        </w:rPr>
        <w:t>established</w:t>
      </w:r>
    </w:p>
    <w:p w14:paraId="04967C93" w14:textId="77777777" w:rsidR="004360AA" w:rsidRPr="003F7AB2" w:rsidRDefault="004360AA" w:rsidP="008558A9">
      <w:pPr>
        <w:pStyle w:val="BodyText"/>
        <w:numPr>
          <w:ilvl w:val="0"/>
          <w:numId w:val="9"/>
        </w:numPr>
        <w:ind w:right="568"/>
        <w:rPr>
          <w:rFonts w:ascii="Arial" w:hAnsi="Arial" w:cs="Arial"/>
        </w:rPr>
      </w:pPr>
      <w:r w:rsidRPr="003F7AB2">
        <w:rPr>
          <w:rFonts w:ascii="Arial" w:hAnsi="Arial" w:cs="Arial"/>
        </w:rPr>
        <w:t>Where there is potential for significant variation in clinical practice (which might otherwise be difficult to</w:t>
      </w:r>
      <w:r w:rsidRPr="003F7AB2">
        <w:rPr>
          <w:rFonts w:ascii="Arial" w:hAnsi="Arial" w:cs="Arial"/>
          <w:spacing w:val="-5"/>
        </w:rPr>
        <w:t xml:space="preserve"> </w:t>
      </w:r>
      <w:r w:rsidRPr="003F7AB2">
        <w:rPr>
          <w:rFonts w:ascii="Arial" w:hAnsi="Arial" w:cs="Arial"/>
        </w:rPr>
        <w:t>control).</w:t>
      </w:r>
    </w:p>
    <w:p w14:paraId="783D9190" w14:textId="06EB7ADC" w:rsidR="00BB32D8" w:rsidRPr="003F7AB2" w:rsidRDefault="004360AA" w:rsidP="00A56716">
      <w:pPr>
        <w:pStyle w:val="BodyText"/>
        <w:numPr>
          <w:ilvl w:val="0"/>
          <w:numId w:val="9"/>
        </w:numPr>
        <w:ind w:right="568"/>
        <w:rPr>
          <w:rFonts w:ascii="Arial" w:hAnsi="Arial" w:cs="Arial"/>
        </w:rPr>
      </w:pPr>
      <w:r w:rsidRPr="003F7AB2">
        <w:rPr>
          <w:rFonts w:ascii="Arial" w:hAnsi="Arial" w:cs="Arial"/>
        </w:rPr>
        <w:t>Where it is not known how best to deliver the treatment (</w:t>
      </w:r>
      <w:r w:rsidR="003D1452" w:rsidRPr="003F7AB2">
        <w:rPr>
          <w:rFonts w:ascii="Arial" w:hAnsi="Arial" w:cs="Arial"/>
        </w:rPr>
        <w:t>e.g.</w:t>
      </w:r>
      <w:r w:rsidRPr="003F7AB2">
        <w:rPr>
          <w:rFonts w:ascii="Arial" w:hAnsi="Arial" w:cs="Arial"/>
        </w:rPr>
        <w:t xml:space="preserve"> dose, frequency,</w:t>
      </w:r>
      <w:r w:rsidRPr="003F7AB2">
        <w:rPr>
          <w:spacing w:val="-29"/>
        </w:rPr>
        <w:t xml:space="preserve"> </w:t>
      </w:r>
      <w:r w:rsidRPr="003F7AB2">
        <w:rPr>
          <w:rFonts w:ascii="Arial" w:hAnsi="Arial" w:cs="Arial"/>
        </w:rPr>
        <w:t>sequencing, concurrent treatment, duration of</w:t>
      </w:r>
      <w:r w:rsidRPr="003F7AB2">
        <w:rPr>
          <w:rFonts w:ascii="Arial" w:hAnsi="Arial" w:cs="Arial"/>
          <w:spacing w:val="-13"/>
        </w:rPr>
        <w:t xml:space="preserve"> </w:t>
      </w:r>
      <w:r w:rsidRPr="003F7AB2">
        <w:rPr>
          <w:rFonts w:ascii="Arial" w:hAnsi="Arial" w:cs="Arial"/>
        </w:rPr>
        <w:t>treatment)</w:t>
      </w:r>
    </w:p>
    <w:p w14:paraId="5504A3F4" w14:textId="77777777" w:rsidR="004360AA" w:rsidRPr="003F7AB2" w:rsidRDefault="004360AA" w:rsidP="008558A9">
      <w:pPr>
        <w:pStyle w:val="BodyText"/>
        <w:numPr>
          <w:ilvl w:val="0"/>
          <w:numId w:val="9"/>
        </w:numPr>
        <w:ind w:right="568"/>
        <w:rPr>
          <w:rFonts w:ascii="Arial" w:hAnsi="Arial" w:cs="Arial"/>
        </w:rPr>
      </w:pPr>
      <w:r w:rsidRPr="003F7AB2">
        <w:rPr>
          <w:rFonts w:ascii="Arial" w:hAnsi="Arial" w:cs="Arial"/>
        </w:rPr>
        <w:t xml:space="preserve">Where there is a good chance that real-life effects and/or costs may differ </w:t>
      </w:r>
      <w:r w:rsidRPr="003F7AB2">
        <w:rPr>
          <w:rFonts w:ascii="Arial" w:hAnsi="Arial" w:cs="Arial"/>
        </w:rPr>
        <w:lastRenderedPageBreak/>
        <w:t>from those seen in clinical trials</w:t>
      </w:r>
      <w:r w:rsidRPr="003F7AB2">
        <w:rPr>
          <w:rFonts w:ascii="Arial" w:hAnsi="Arial" w:cs="Arial"/>
          <w:spacing w:val="-3"/>
        </w:rPr>
        <w:t xml:space="preserve"> </w:t>
      </w:r>
      <w:r w:rsidRPr="003F7AB2">
        <w:rPr>
          <w:rFonts w:ascii="Arial" w:hAnsi="Arial" w:cs="Arial"/>
        </w:rPr>
        <w:t>because</w:t>
      </w:r>
      <w:r w:rsidRPr="003F7AB2">
        <w:rPr>
          <w:rFonts w:ascii="Arial" w:hAnsi="Arial" w:cs="Arial"/>
          <w:spacing w:val="-5"/>
        </w:rPr>
        <w:t xml:space="preserve"> </w:t>
      </w:r>
      <w:r w:rsidRPr="003F7AB2">
        <w:rPr>
          <w:rFonts w:ascii="Arial" w:hAnsi="Arial" w:cs="Arial"/>
        </w:rPr>
        <w:t>of</w:t>
      </w:r>
      <w:r w:rsidRPr="003F7AB2">
        <w:rPr>
          <w:rFonts w:ascii="Arial" w:hAnsi="Arial" w:cs="Arial"/>
          <w:spacing w:val="-3"/>
        </w:rPr>
        <w:t xml:space="preserve"> </w:t>
      </w:r>
      <w:r w:rsidRPr="003F7AB2">
        <w:rPr>
          <w:rFonts w:ascii="Arial" w:hAnsi="Arial" w:cs="Arial"/>
        </w:rPr>
        <w:t>difference</w:t>
      </w:r>
      <w:r w:rsidRPr="003F7AB2">
        <w:rPr>
          <w:rFonts w:ascii="Arial" w:hAnsi="Arial" w:cs="Arial"/>
          <w:spacing w:val="-5"/>
        </w:rPr>
        <w:t xml:space="preserve"> </w:t>
      </w:r>
      <w:r w:rsidRPr="003F7AB2">
        <w:rPr>
          <w:rFonts w:ascii="Arial" w:hAnsi="Arial" w:cs="Arial"/>
        </w:rPr>
        <w:t>in</w:t>
      </w:r>
      <w:r w:rsidRPr="003F7AB2">
        <w:rPr>
          <w:rFonts w:ascii="Arial" w:hAnsi="Arial" w:cs="Arial"/>
          <w:spacing w:val="-4"/>
        </w:rPr>
        <w:t xml:space="preserve"> </w:t>
      </w:r>
      <w:r w:rsidRPr="003F7AB2">
        <w:rPr>
          <w:rFonts w:ascii="Arial" w:hAnsi="Arial" w:cs="Arial"/>
        </w:rPr>
        <w:t>context,</w:t>
      </w:r>
      <w:r w:rsidRPr="003F7AB2">
        <w:rPr>
          <w:rFonts w:ascii="Arial" w:hAnsi="Arial" w:cs="Arial"/>
          <w:spacing w:val="-5"/>
        </w:rPr>
        <w:t xml:space="preserve"> </w:t>
      </w:r>
      <w:r w:rsidRPr="003F7AB2">
        <w:rPr>
          <w:rFonts w:ascii="Arial" w:hAnsi="Arial" w:cs="Arial"/>
        </w:rPr>
        <w:t>patient</w:t>
      </w:r>
      <w:r w:rsidRPr="003F7AB2">
        <w:rPr>
          <w:rFonts w:ascii="Arial" w:hAnsi="Arial" w:cs="Arial"/>
          <w:spacing w:val="-5"/>
        </w:rPr>
        <w:t xml:space="preserve"> </w:t>
      </w:r>
      <w:r w:rsidRPr="003F7AB2">
        <w:rPr>
          <w:rFonts w:ascii="Arial" w:hAnsi="Arial" w:cs="Arial"/>
        </w:rPr>
        <w:t>mix,</w:t>
      </w:r>
      <w:r w:rsidRPr="003F7AB2">
        <w:rPr>
          <w:rFonts w:ascii="Arial" w:hAnsi="Arial" w:cs="Arial"/>
          <w:spacing w:val="-3"/>
        </w:rPr>
        <w:t xml:space="preserve"> </w:t>
      </w:r>
      <w:r w:rsidRPr="003F7AB2">
        <w:rPr>
          <w:rFonts w:ascii="Arial" w:hAnsi="Arial" w:cs="Arial"/>
        </w:rPr>
        <w:t>treatment</w:t>
      </w:r>
      <w:r w:rsidRPr="003F7AB2">
        <w:rPr>
          <w:rFonts w:ascii="Arial" w:hAnsi="Arial" w:cs="Arial"/>
          <w:spacing w:val="-4"/>
        </w:rPr>
        <w:t xml:space="preserve"> </w:t>
      </w:r>
      <w:r w:rsidRPr="003F7AB2">
        <w:rPr>
          <w:rFonts w:ascii="Arial" w:hAnsi="Arial" w:cs="Arial"/>
        </w:rPr>
        <w:t>delivery,</w:t>
      </w:r>
      <w:r w:rsidRPr="003F7AB2">
        <w:rPr>
          <w:rFonts w:ascii="Arial" w:hAnsi="Arial" w:cs="Arial"/>
          <w:spacing w:val="-3"/>
        </w:rPr>
        <w:t xml:space="preserve"> </w:t>
      </w:r>
      <w:r w:rsidRPr="003F7AB2">
        <w:rPr>
          <w:rFonts w:ascii="Arial" w:hAnsi="Arial" w:cs="Arial"/>
        </w:rPr>
        <w:t>service</w:t>
      </w:r>
      <w:r w:rsidRPr="003F7AB2">
        <w:rPr>
          <w:rFonts w:ascii="Arial" w:hAnsi="Arial" w:cs="Arial"/>
          <w:spacing w:val="-3"/>
        </w:rPr>
        <w:t xml:space="preserve"> </w:t>
      </w:r>
      <w:r w:rsidRPr="003F7AB2">
        <w:rPr>
          <w:rFonts w:ascii="Arial" w:hAnsi="Arial" w:cs="Arial"/>
        </w:rPr>
        <w:t>provision</w:t>
      </w:r>
      <w:r w:rsidRPr="003F7AB2">
        <w:rPr>
          <w:rFonts w:ascii="Arial" w:hAnsi="Arial" w:cs="Arial"/>
          <w:spacing w:val="-4"/>
        </w:rPr>
        <w:t xml:space="preserve"> </w:t>
      </w:r>
      <w:r w:rsidRPr="003F7AB2">
        <w:rPr>
          <w:rFonts w:ascii="Arial" w:hAnsi="Arial" w:cs="Arial"/>
        </w:rPr>
        <w:t>etc</w:t>
      </w:r>
    </w:p>
    <w:p w14:paraId="709ADF89" w14:textId="77777777" w:rsidR="00CD30AC" w:rsidRPr="003F7AB2" w:rsidRDefault="00CD30AC" w:rsidP="004360AA">
      <w:pPr>
        <w:pStyle w:val="BodyText"/>
        <w:ind w:right="568"/>
      </w:pPr>
    </w:p>
    <w:p w14:paraId="2E12B124" w14:textId="5A4B5290" w:rsidR="004360AA" w:rsidRPr="00BB6C94" w:rsidRDefault="004360AA" w:rsidP="004360AA">
      <w:pPr>
        <w:pStyle w:val="BodyText"/>
        <w:ind w:right="568"/>
        <w:rPr>
          <w:rFonts w:ascii="Arial" w:hAnsi="Arial" w:cs="Arial"/>
          <w:highlight w:val="yellow"/>
        </w:rPr>
      </w:pPr>
      <w:r w:rsidRPr="003F7AB2">
        <w:rPr>
          <w:rFonts w:ascii="Arial" w:hAnsi="Arial" w:cs="Arial"/>
        </w:rPr>
        <w:t xml:space="preserve">Decision-makers should, therefore, be able to apply conditions when funding treatments in this category. </w:t>
      </w:r>
    </w:p>
    <w:p w14:paraId="1E228254" w14:textId="77777777" w:rsidR="004360AA" w:rsidRPr="00BB6C94" w:rsidRDefault="004360AA" w:rsidP="004360AA">
      <w:pPr>
        <w:pStyle w:val="BodyText"/>
        <w:ind w:right="568"/>
        <w:rPr>
          <w:highlight w:val="yellow"/>
        </w:rPr>
      </w:pPr>
    </w:p>
    <w:p w14:paraId="5EC7E5E5" w14:textId="77777777" w:rsidR="004360AA" w:rsidRPr="006349C2" w:rsidRDefault="004360AA" w:rsidP="004360AA">
      <w:pPr>
        <w:pStyle w:val="BodyText"/>
        <w:ind w:right="568"/>
        <w:rPr>
          <w:rFonts w:ascii="Arial" w:hAnsi="Arial" w:cs="Arial"/>
        </w:rPr>
      </w:pPr>
    </w:p>
    <w:p w14:paraId="58F4C9C7" w14:textId="2A6035A8" w:rsidR="004360AA" w:rsidRDefault="004360AA" w:rsidP="004360AA">
      <w:pPr>
        <w:pStyle w:val="BodyText"/>
        <w:ind w:right="568"/>
        <w:rPr>
          <w:rFonts w:ascii="Arial" w:hAnsi="Arial" w:cs="Arial"/>
        </w:rPr>
      </w:pPr>
    </w:p>
    <w:p w14:paraId="47F72AF3" w14:textId="7037799A" w:rsidR="004172AD" w:rsidRDefault="004172AD" w:rsidP="004360AA">
      <w:pPr>
        <w:pStyle w:val="BodyText"/>
        <w:ind w:right="568"/>
        <w:rPr>
          <w:rFonts w:ascii="Arial" w:hAnsi="Arial" w:cs="Arial"/>
        </w:rPr>
      </w:pPr>
    </w:p>
    <w:p w14:paraId="33D4E40B" w14:textId="77777777" w:rsidR="00497E50" w:rsidRDefault="00497E50" w:rsidP="004360AA">
      <w:pPr>
        <w:pStyle w:val="BodyText"/>
        <w:ind w:right="568"/>
        <w:rPr>
          <w:rFonts w:ascii="Arial" w:hAnsi="Arial" w:cs="Arial"/>
        </w:rPr>
      </w:pPr>
    </w:p>
    <w:p w14:paraId="0C8D3B0B" w14:textId="77777777" w:rsidR="00497E50" w:rsidRDefault="00497E50" w:rsidP="004360AA">
      <w:pPr>
        <w:pStyle w:val="BodyText"/>
        <w:ind w:right="568"/>
        <w:rPr>
          <w:rFonts w:ascii="Arial" w:hAnsi="Arial" w:cs="Arial"/>
        </w:rPr>
      </w:pPr>
    </w:p>
    <w:p w14:paraId="372B428A" w14:textId="77777777" w:rsidR="00497E50" w:rsidRDefault="00497E50" w:rsidP="004360AA">
      <w:pPr>
        <w:pStyle w:val="BodyText"/>
        <w:ind w:right="568"/>
        <w:rPr>
          <w:rFonts w:ascii="Arial" w:hAnsi="Arial" w:cs="Arial"/>
        </w:rPr>
      </w:pPr>
    </w:p>
    <w:p w14:paraId="6FF5754C" w14:textId="77777777" w:rsidR="00497E50" w:rsidRDefault="00497E50" w:rsidP="004360AA">
      <w:pPr>
        <w:pStyle w:val="BodyText"/>
        <w:ind w:right="568"/>
        <w:rPr>
          <w:rFonts w:ascii="Arial" w:hAnsi="Arial" w:cs="Arial"/>
        </w:rPr>
      </w:pPr>
    </w:p>
    <w:p w14:paraId="7AD11CF2" w14:textId="77777777" w:rsidR="00497E50" w:rsidRDefault="00497E50" w:rsidP="004360AA">
      <w:pPr>
        <w:pStyle w:val="BodyText"/>
        <w:ind w:right="568"/>
        <w:rPr>
          <w:rFonts w:ascii="Arial" w:hAnsi="Arial" w:cs="Arial"/>
        </w:rPr>
      </w:pPr>
    </w:p>
    <w:p w14:paraId="7EFB6B4D" w14:textId="77777777" w:rsidR="00497E50" w:rsidRDefault="00497E50" w:rsidP="004360AA">
      <w:pPr>
        <w:pStyle w:val="BodyText"/>
        <w:ind w:right="568"/>
        <w:rPr>
          <w:rFonts w:ascii="Arial" w:hAnsi="Arial" w:cs="Arial"/>
        </w:rPr>
      </w:pPr>
    </w:p>
    <w:p w14:paraId="3D52DB82" w14:textId="77777777" w:rsidR="00497E50" w:rsidRDefault="00497E50" w:rsidP="004360AA">
      <w:pPr>
        <w:pStyle w:val="BodyText"/>
        <w:ind w:right="568"/>
        <w:rPr>
          <w:rFonts w:ascii="Arial" w:hAnsi="Arial" w:cs="Arial"/>
        </w:rPr>
      </w:pPr>
    </w:p>
    <w:p w14:paraId="76F2EB52" w14:textId="77777777" w:rsidR="00497E50" w:rsidRDefault="00497E50" w:rsidP="004360AA">
      <w:pPr>
        <w:pStyle w:val="BodyText"/>
        <w:ind w:right="568"/>
        <w:rPr>
          <w:rFonts w:ascii="Arial" w:hAnsi="Arial" w:cs="Arial"/>
        </w:rPr>
      </w:pPr>
    </w:p>
    <w:p w14:paraId="464F3FFD" w14:textId="77777777" w:rsidR="00497E50" w:rsidRDefault="00497E50" w:rsidP="004360AA">
      <w:pPr>
        <w:pStyle w:val="BodyText"/>
        <w:ind w:right="568"/>
        <w:rPr>
          <w:rFonts w:ascii="Arial" w:hAnsi="Arial" w:cs="Arial"/>
        </w:rPr>
      </w:pPr>
    </w:p>
    <w:p w14:paraId="3AA7182D" w14:textId="77777777" w:rsidR="00497E50" w:rsidRDefault="00497E50" w:rsidP="004360AA">
      <w:pPr>
        <w:pStyle w:val="BodyText"/>
        <w:ind w:right="568"/>
        <w:rPr>
          <w:rFonts w:ascii="Arial" w:hAnsi="Arial" w:cs="Arial"/>
        </w:rPr>
      </w:pPr>
    </w:p>
    <w:p w14:paraId="292B0FF3" w14:textId="77777777" w:rsidR="00497E50" w:rsidRDefault="00497E50" w:rsidP="004360AA">
      <w:pPr>
        <w:pStyle w:val="BodyText"/>
        <w:ind w:right="568"/>
        <w:rPr>
          <w:rFonts w:ascii="Arial" w:hAnsi="Arial" w:cs="Arial"/>
        </w:rPr>
      </w:pPr>
    </w:p>
    <w:p w14:paraId="199D6F53" w14:textId="77777777" w:rsidR="00497E50" w:rsidRDefault="00497E50" w:rsidP="004360AA">
      <w:pPr>
        <w:pStyle w:val="BodyText"/>
        <w:ind w:right="568"/>
        <w:rPr>
          <w:rFonts w:ascii="Arial" w:hAnsi="Arial" w:cs="Arial"/>
        </w:rPr>
      </w:pPr>
    </w:p>
    <w:p w14:paraId="57A3092D" w14:textId="77777777" w:rsidR="00497E50" w:rsidRDefault="00497E50" w:rsidP="004360AA">
      <w:pPr>
        <w:pStyle w:val="BodyText"/>
        <w:ind w:right="568"/>
        <w:rPr>
          <w:rFonts w:ascii="Arial" w:hAnsi="Arial" w:cs="Arial"/>
        </w:rPr>
      </w:pPr>
    </w:p>
    <w:p w14:paraId="3E7D3FB2" w14:textId="77777777" w:rsidR="00497E50" w:rsidRDefault="00497E50" w:rsidP="004360AA">
      <w:pPr>
        <w:pStyle w:val="BodyText"/>
        <w:ind w:right="568"/>
        <w:rPr>
          <w:rFonts w:ascii="Arial" w:hAnsi="Arial" w:cs="Arial"/>
        </w:rPr>
      </w:pPr>
    </w:p>
    <w:p w14:paraId="5D5C2100" w14:textId="77777777" w:rsidR="00497E50" w:rsidRDefault="00497E50" w:rsidP="004360AA">
      <w:pPr>
        <w:pStyle w:val="BodyText"/>
        <w:ind w:right="568"/>
        <w:rPr>
          <w:rFonts w:ascii="Arial" w:hAnsi="Arial" w:cs="Arial"/>
        </w:rPr>
      </w:pPr>
    </w:p>
    <w:p w14:paraId="4C781176" w14:textId="77777777" w:rsidR="00497E50" w:rsidRDefault="00497E50" w:rsidP="004360AA">
      <w:pPr>
        <w:pStyle w:val="BodyText"/>
        <w:ind w:right="568"/>
        <w:rPr>
          <w:rFonts w:ascii="Arial" w:hAnsi="Arial" w:cs="Arial"/>
        </w:rPr>
      </w:pPr>
    </w:p>
    <w:p w14:paraId="5A83FAF6" w14:textId="77777777" w:rsidR="00497E50" w:rsidRDefault="00497E50" w:rsidP="004360AA">
      <w:pPr>
        <w:pStyle w:val="BodyText"/>
        <w:ind w:right="568"/>
        <w:rPr>
          <w:rFonts w:ascii="Arial" w:hAnsi="Arial" w:cs="Arial"/>
        </w:rPr>
      </w:pPr>
    </w:p>
    <w:p w14:paraId="64F282C0" w14:textId="77777777" w:rsidR="00497E50" w:rsidRDefault="00497E50" w:rsidP="004360AA">
      <w:pPr>
        <w:pStyle w:val="BodyText"/>
        <w:ind w:right="568"/>
        <w:rPr>
          <w:rFonts w:ascii="Arial" w:hAnsi="Arial" w:cs="Arial"/>
        </w:rPr>
      </w:pPr>
    </w:p>
    <w:p w14:paraId="7537D9BE" w14:textId="77777777" w:rsidR="00497E50" w:rsidRDefault="00497E50" w:rsidP="004360AA">
      <w:pPr>
        <w:pStyle w:val="BodyText"/>
        <w:ind w:right="568"/>
        <w:rPr>
          <w:rFonts w:ascii="Arial" w:hAnsi="Arial" w:cs="Arial"/>
        </w:rPr>
      </w:pPr>
    </w:p>
    <w:p w14:paraId="4BF15B67" w14:textId="77777777" w:rsidR="00497E50" w:rsidRDefault="00497E50" w:rsidP="004360AA">
      <w:pPr>
        <w:pStyle w:val="BodyText"/>
        <w:ind w:right="568"/>
        <w:rPr>
          <w:rFonts w:ascii="Arial" w:hAnsi="Arial" w:cs="Arial"/>
        </w:rPr>
      </w:pPr>
    </w:p>
    <w:p w14:paraId="5EBA1870" w14:textId="77777777" w:rsidR="00497E50" w:rsidRDefault="00497E50" w:rsidP="004360AA">
      <w:pPr>
        <w:pStyle w:val="BodyText"/>
        <w:ind w:right="568"/>
        <w:rPr>
          <w:rFonts w:ascii="Arial" w:hAnsi="Arial" w:cs="Arial"/>
        </w:rPr>
      </w:pPr>
    </w:p>
    <w:p w14:paraId="08E7E626" w14:textId="77777777" w:rsidR="00497E50" w:rsidRDefault="00497E50" w:rsidP="004360AA">
      <w:pPr>
        <w:pStyle w:val="BodyText"/>
        <w:ind w:right="568"/>
        <w:rPr>
          <w:rFonts w:ascii="Arial" w:hAnsi="Arial" w:cs="Arial"/>
        </w:rPr>
      </w:pPr>
    </w:p>
    <w:p w14:paraId="7638FEC2" w14:textId="77777777" w:rsidR="00497E50" w:rsidRDefault="00497E50" w:rsidP="004360AA">
      <w:pPr>
        <w:pStyle w:val="BodyText"/>
        <w:ind w:right="568"/>
        <w:rPr>
          <w:rFonts w:ascii="Arial" w:hAnsi="Arial" w:cs="Arial"/>
        </w:rPr>
      </w:pPr>
    </w:p>
    <w:p w14:paraId="217A9049" w14:textId="77777777" w:rsidR="00497E50" w:rsidRDefault="00497E50" w:rsidP="004360AA">
      <w:pPr>
        <w:pStyle w:val="BodyText"/>
        <w:ind w:right="568"/>
        <w:rPr>
          <w:rFonts w:ascii="Arial" w:hAnsi="Arial" w:cs="Arial"/>
        </w:rPr>
      </w:pPr>
    </w:p>
    <w:p w14:paraId="2E3804C3" w14:textId="77777777" w:rsidR="00497E50" w:rsidRDefault="00497E50" w:rsidP="004360AA">
      <w:pPr>
        <w:pStyle w:val="BodyText"/>
        <w:ind w:right="568"/>
        <w:rPr>
          <w:rFonts w:ascii="Arial" w:hAnsi="Arial" w:cs="Arial"/>
        </w:rPr>
      </w:pPr>
    </w:p>
    <w:p w14:paraId="57052A29" w14:textId="77777777" w:rsidR="00497E50" w:rsidRDefault="00497E50" w:rsidP="004360AA">
      <w:pPr>
        <w:pStyle w:val="BodyText"/>
        <w:ind w:right="568"/>
        <w:rPr>
          <w:rFonts w:ascii="Arial" w:hAnsi="Arial" w:cs="Arial"/>
        </w:rPr>
      </w:pPr>
    </w:p>
    <w:p w14:paraId="3DB06880" w14:textId="77777777" w:rsidR="00497E50" w:rsidRDefault="00497E50" w:rsidP="004360AA">
      <w:pPr>
        <w:pStyle w:val="BodyText"/>
        <w:ind w:right="568"/>
        <w:rPr>
          <w:rFonts w:ascii="Arial" w:hAnsi="Arial" w:cs="Arial"/>
        </w:rPr>
      </w:pPr>
    </w:p>
    <w:p w14:paraId="7C1C60EE" w14:textId="77777777" w:rsidR="00497E50" w:rsidRDefault="00497E50" w:rsidP="004360AA">
      <w:pPr>
        <w:pStyle w:val="BodyText"/>
        <w:ind w:right="568"/>
        <w:rPr>
          <w:rFonts w:ascii="Arial" w:hAnsi="Arial" w:cs="Arial"/>
        </w:rPr>
      </w:pPr>
    </w:p>
    <w:p w14:paraId="36BC5599" w14:textId="77777777" w:rsidR="00497E50" w:rsidRDefault="00497E50" w:rsidP="004360AA">
      <w:pPr>
        <w:pStyle w:val="BodyText"/>
        <w:ind w:right="568"/>
        <w:rPr>
          <w:rFonts w:ascii="Arial" w:hAnsi="Arial" w:cs="Arial"/>
        </w:rPr>
      </w:pPr>
    </w:p>
    <w:p w14:paraId="333B0BF4" w14:textId="77777777" w:rsidR="00497E50" w:rsidRDefault="00497E50" w:rsidP="004360AA">
      <w:pPr>
        <w:pStyle w:val="BodyText"/>
        <w:ind w:right="568"/>
        <w:rPr>
          <w:rFonts w:ascii="Arial" w:hAnsi="Arial" w:cs="Arial"/>
        </w:rPr>
      </w:pPr>
    </w:p>
    <w:p w14:paraId="57DEDEA1" w14:textId="77777777" w:rsidR="00497E50" w:rsidRDefault="00497E50" w:rsidP="004360AA">
      <w:pPr>
        <w:pStyle w:val="BodyText"/>
        <w:ind w:right="568"/>
        <w:rPr>
          <w:rFonts w:ascii="Arial" w:hAnsi="Arial" w:cs="Arial"/>
        </w:rPr>
      </w:pPr>
    </w:p>
    <w:p w14:paraId="20DC6D4A" w14:textId="77777777" w:rsidR="00497E50" w:rsidRDefault="00497E50" w:rsidP="004360AA">
      <w:pPr>
        <w:pStyle w:val="BodyText"/>
        <w:ind w:right="568"/>
        <w:rPr>
          <w:rFonts w:ascii="Arial" w:hAnsi="Arial" w:cs="Arial"/>
        </w:rPr>
      </w:pPr>
    </w:p>
    <w:p w14:paraId="5AFA276A" w14:textId="77777777" w:rsidR="00497E50" w:rsidRDefault="00497E50" w:rsidP="004360AA">
      <w:pPr>
        <w:pStyle w:val="BodyText"/>
        <w:ind w:right="568"/>
        <w:rPr>
          <w:rFonts w:ascii="Arial" w:hAnsi="Arial" w:cs="Arial"/>
        </w:rPr>
      </w:pPr>
    </w:p>
    <w:p w14:paraId="71BF6F4F" w14:textId="77777777" w:rsidR="00497E50" w:rsidRDefault="00497E50" w:rsidP="004360AA">
      <w:pPr>
        <w:pStyle w:val="BodyText"/>
        <w:ind w:right="568"/>
        <w:rPr>
          <w:rFonts w:ascii="Arial" w:hAnsi="Arial" w:cs="Arial"/>
        </w:rPr>
      </w:pPr>
    </w:p>
    <w:p w14:paraId="146EC061" w14:textId="77777777" w:rsidR="00497E50" w:rsidRDefault="00497E50" w:rsidP="004360AA">
      <w:pPr>
        <w:pStyle w:val="BodyText"/>
        <w:ind w:right="568"/>
        <w:rPr>
          <w:rFonts w:ascii="Arial" w:hAnsi="Arial" w:cs="Arial"/>
        </w:rPr>
      </w:pPr>
    </w:p>
    <w:p w14:paraId="1B40F42C" w14:textId="25E3ECC4" w:rsidR="004172AD" w:rsidRDefault="004172AD" w:rsidP="004360AA">
      <w:pPr>
        <w:pStyle w:val="BodyText"/>
        <w:ind w:right="568"/>
        <w:rPr>
          <w:rFonts w:ascii="Arial" w:hAnsi="Arial" w:cs="Arial"/>
        </w:rPr>
      </w:pPr>
    </w:p>
    <w:p w14:paraId="33FED832" w14:textId="52B8CA75" w:rsidR="004172AD" w:rsidRDefault="004172AD" w:rsidP="004360AA">
      <w:pPr>
        <w:pStyle w:val="BodyText"/>
        <w:ind w:right="568"/>
        <w:rPr>
          <w:rFonts w:ascii="Arial" w:hAnsi="Arial" w:cs="Arial"/>
        </w:rPr>
      </w:pPr>
    </w:p>
    <w:p w14:paraId="163BD19C" w14:textId="0FE4FEC1" w:rsidR="004172AD" w:rsidRDefault="004172AD" w:rsidP="004360AA">
      <w:pPr>
        <w:pStyle w:val="BodyText"/>
        <w:ind w:right="568"/>
        <w:rPr>
          <w:rFonts w:ascii="Arial" w:hAnsi="Arial" w:cs="Arial"/>
        </w:rPr>
      </w:pPr>
    </w:p>
    <w:p w14:paraId="5F0DE49D" w14:textId="33084536" w:rsidR="004172AD" w:rsidRDefault="004172AD" w:rsidP="004360AA">
      <w:pPr>
        <w:pStyle w:val="BodyText"/>
        <w:ind w:right="568"/>
        <w:rPr>
          <w:rFonts w:ascii="Arial" w:hAnsi="Arial" w:cs="Arial"/>
        </w:rPr>
      </w:pPr>
    </w:p>
    <w:p w14:paraId="5F53EADA" w14:textId="77777777" w:rsidR="004172AD" w:rsidRPr="00A702FC" w:rsidRDefault="004172AD" w:rsidP="004360AA">
      <w:pPr>
        <w:pStyle w:val="BodyText"/>
        <w:ind w:right="568"/>
        <w:rPr>
          <w:rFonts w:ascii="Arial" w:hAnsi="Arial" w:cs="Arial"/>
        </w:rPr>
      </w:pPr>
    </w:p>
    <w:p w14:paraId="41EDCE5B" w14:textId="77777777" w:rsidR="004360AA" w:rsidRPr="00A702FC" w:rsidRDefault="004360AA" w:rsidP="004360AA">
      <w:pPr>
        <w:pStyle w:val="BodyText"/>
        <w:ind w:right="568"/>
      </w:pPr>
    </w:p>
    <w:p w14:paraId="52DAD525" w14:textId="77777777" w:rsidR="00D970F1" w:rsidRPr="00A702FC" w:rsidRDefault="00D970F1" w:rsidP="004360AA">
      <w:pPr>
        <w:pStyle w:val="BodyText"/>
        <w:ind w:right="568"/>
        <w:rPr>
          <w:rFonts w:ascii="Arial" w:hAnsi="Arial" w:cs="Arial"/>
          <w:b/>
          <w:bCs/>
          <w:color w:val="4472C4" w:themeColor="accent5"/>
          <w:sz w:val="24"/>
          <w:szCs w:val="24"/>
        </w:rPr>
      </w:pPr>
    </w:p>
    <w:p w14:paraId="5B124496" w14:textId="5D835430" w:rsidR="004360AA" w:rsidRPr="00A702FC" w:rsidRDefault="00BB6C94" w:rsidP="004360AA">
      <w:pPr>
        <w:pStyle w:val="BodyText"/>
        <w:ind w:right="568"/>
        <w:rPr>
          <w:rFonts w:ascii="Arial" w:hAnsi="Arial" w:cs="Arial"/>
          <w:b/>
          <w:bCs/>
          <w:color w:val="4472C4" w:themeColor="accent5"/>
          <w:sz w:val="24"/>
          <w:szCs w:val="24"/>
        </w:rPr>
      </w:pPr>
      <w:r>
        <w:rPr>
          <w:rFonts w:ascii="Arial" w:hAnsi="Arial" w:cs="Arial"/>
          <w:b/>
          <w:bCs/>
          <w:color w:val="4472C4" w:themeColor="accent5"/>
          <w:sz w:val="24"/>
          <w:szCs w:val="24"/>
        </w:rPr>
        <w:lastRenderedPageBreak/>
        <w:t>7.</w:t>
      </w:r>
      <w:r w:rsidR="00F75DD0" w:rsidRPr="00A702FC">
        <w:rPr>
          <w:rFonts w:ascii="Arial" w:hAnsi="Arial" w:cs="Arial"/>
          <w:b/>
          <w:bCs/>
          <w:color w:val="4472C4" w:themeColor="accent5"/>
          <w:sz w:val="24"/>
          <w:szCs w:val="24"/>
        </w:rPr>
        <w:t xml:space="preserve"> </w:t>
      </w:r>
      <w:r w:rsidR="009A5324" w:rsidRPr="00A702FC">
        <w:rPr>
          <w:rFonts w:ascii="Arial" w:hAnsi="Arial" w:cs="Arial"/>
          <w:b/>
          <w:bCs/>
          <w:color w:val="4472C4" w:themeColor="accent5"/>
          <w:sz w:val="24"/>
          <w:szCs w:val="24"/>
        </w:rPr>
        <w:t>GLOSSARY</w:t>
      </w:r>
    </w:p>
    <w:p w14:paraId="70A94805" w14:textId="293CD597" w:rsidR="009A5324" w:rsidRPr="00A702FC" w:rsidRDefault="009A5324" w:rsidP="004360AA">
      <w:pPr>
        <w:pStyle w:val="BodyText"/>
        <w:ind w:right="568"/>
        <w:rPr>
          <w:color w:val="4472C4" w:themeColor="accent5"/>
        </w:rPr>
      </w:pPr>
    </w:p>
    <w:tbl>
      <w:tblPr>
        <w:tblStyle w:val="TableGrid"/>
        <w:tblW w:w="0" w:type="auto"/>
        <w:tblLook w:val="04A0" w:firstRow="1" w:lastRow="0" w:firstColumn="1" w:lastColumn="0" w:noHBand="0" w:noVBand="1"/>
      </w:tblPr>
      <w:tblGrid>
        <w:gridCol w:w="2398"/>
        <w:gridCol w:w="6618"/>
      </w:tblGrid>
      <w:tr w:rsidR="009A5324" w:rsidRPr="00A702FC" w14:paraId="2F735348" w14:textId="77777777" w:rsidTr="00812DF9">
        <w:tc>
          <w:tcPr>
            <w:tcW w:w="2398" w:type="dxa"/>
            <w:shd w:val="clear" w:color="auto" w:fill="DEEAF6" w:themeFill="accent1" w:themeFillTint="33"/>
          </w:tcPr>
          <w:p w14:paraId="5FD853B0" w14:textId="3E2A9C46" w:rsidR="009A5324" w:rsidRPr="00A702FC" w:rsidRDefault="009A5324" w:rsidP="00812DF9">
            <w:pPr>
              <w:pStyle w:val="BodyText"/>
              <w:ind w:right="568"/>
              <w:jc w:val="center"/>
              <w:rPr>
                <w:rFonts w:ascii="Arial" w:hAnsi="Arial" w:cs="Arial"/>
                <w:b/>
                <w:bCs/>
              </w:rPr>
            </w:pPr>
            <w:r w:rsidRPr="00A702FC">
              <w:rPr>
                <w:rFonts w:ascii="Arial" w:hAnsi="Arial" w:cs="Arial"/>
                <w:b/>
                <w:bCs/>
              </w:rPr>
              <w:t>TERM</w:t>
            </w:r>
          </w:p>
        </w:tc>
        <w:tc>
          <w:tcPr>
            <w:tcW w:w="6618" w:type="dxa"/>
            <w:shd w:val="clear" w:color="auto" w:fill="DEEAF6" w:themeFill="accent1" w:themeFillTint="33"/>
          </w:tcPr>
          <w:p w14:paraId="090F6A72" w14:textId="71DA6073" w:rsidR="009A5324" w:rsidRPr="00A702FC" w:rsidRDefault="009A5324" w:rsidP="00812DF9">
            <w:pPr>
              <w:pStyle w:val="BodyText"/>
              <w:ind w:right="568"/>
              <w:jc w:val="center"/>
              <w:rPr>
                <w:rFonts w:ascii="Arial" w:hAnsi="Arial" w:cs="Arial"/>
                <w:b/>
                <w:bCs/>
              </w:rPr>
            </w:pPr>
            <w:r w:rsidRPr="00A702FC">
              <w:rPr>
                <w:rFonts w:ascii="Arial" w:hAnsi="Arial" w:cs="Arial"/>
                <w:b/>
                <w:bCs/>
              </w:rPr>
              <w:t>DEFINITION</w:t>
            </w:r>
          </w:p>
        </w:tc>
      </w:tr>
      <w:tr w:rsidR="009A5324" w:rsidRPr="00A702FC" w14:paraId="313EE8D7" w14:textId="77777777" w:rsidTr="00463502">
        <w:trPr>
          <w:trHeight w:val="1462"/>
        </w:trPr>
        <w:tc>
          <w:tcPr>
            <w:tcW w:w="2398" w:type="dxa"/>
          </w:tcPr>
          <w:p w14:paraId="1B2C0F80" w14:textId="4F177112" w:rsidR="009A5324" w:rsidRPr="00A702FC" w:rsidRDefault="003D2316" w:rsidP="004360AA">
            <w:pPr>
              <w:pStyle w:val="BodyText"/>
              <w:ind w:right="568"/>
              <w:rPr>
                <w:rFonts w:ascii="Arial" w:hAnsi="Arial" w:cs="Arial"/>
              </w:rPr>
            </w:pPr>
            <w:r w:rsidRPr="00A702FC">
              <w:rPr>
                <w:rFonts w:ascii="Arial" w:hAnsi="Arial" w:cs="Arial"/>
                <w:b/>
              </w:rPr>
              <w:t>Annual commissioning round</w:t>
            </w:r>
          </w:p>
          <w:p w14:paraId="764ED003" w14:textId="41D4C8E7" w:rsidR="009A5324" w:rsidRPr="00A702FC" w:rsidRDefault="009A5324" w:rsidP="004360AA">
            <w:pPr>
              <w:pStyle w:val="BodyText"/>
              <w:ind w:right="568"/>
              <w:rPr>
                <w:rFonts w:ascii="Arial" w:hAnsi="Arial" w:cs="Arial"/>
              </w:rPr>
            </w:pPr>
          </w:p>
        </w:tc>
        <w:tc>
          <w:tcPr>
            <w:tcW w:w="6618" w:type="dxa"/>
          </w:tcPr>
          <w:p w14:paraId="488F01A5" w14:textId="670E16F1" w:rsidR="00ED6028" w:rsidRPr="00A702FC" w:rsidRDefault="003D2316" w:rsidP="00463502">
            <w:pPr>
              <w:pStyle w:val="BodyText"/>
              <w:ind w:right="568"/>
              <w:rPr>
                <w:rFonts w:ascii="Arial" w:hAnsi="Arial" w:cs="Arial"/>
              </w:rPr>
            </w:pPr>
            <w:r w:rsidRPr="00A702FC">
              <w:rPr>
                <w:rFonts w:ascii="Arial" w:hAnsi="Arial" w:cs="Arial"/>
                <w:iCs/>
                <w:sz w:val="20"/>
                <w:szCs w:val="20"/>
              </w:rPr>
              <w:t>The</w:t>
            </w:r>
            <w:r w:rsidRPr="00A702FC">
              <w:rPr>
                <w:rFonts w:ascii="Arial" w:hAnsi="Arial" w:cs="Arial"/>
                <w:i/>
                <w:sz w:val="20"/>
                <w:szCs w:val="20"/>
              </w:rPr>
              <w:t xml:space="preserve"> annual commissioning round </w:t>
            </w:r>
            <w:r w:rsidRPr="00A702FC">
              <w:rPr>
                <w:rFonts w:ascii="Arial" w:hAnsi="Arial" w:cs="Arial"/>
                <w:sz w:val="20"/>
                <w:szCs w:val="20"/>
              </w:rPr>
              <w:t>is the process by which major funding decisions are taken, including the allocation of new money coming into the NHS. This involves a complex process of prioritisation which involves a series of decisions. This process occurs</w:t>
            </w:r>
            <w:r w:rsidRPr="00A702FC">
              <w:rPr>
                <w:rFonts w:ascii="Arial" w:hAnsi="Arial" w:cs="Arial"/>
                <w:spacing w:val="-4"/>
                <w:sz w:val="20"/>
                <w:szCs w:val="20"/>
              </w:rPr>
              <w:t xml:space="preserve"> </w:t>
            </w:r>
            <w:r w:rsidRPr="00A702FC">
              <w:rPr>
                <w:rFonts w:ascii="Arial" w:hAnsi="Arial" w:cs="Arial"/>
                <w:sz w:val="20"/>
                <w:szCs w:val="20"/>
              </w:rPr>
              <w:t>during</w:t>
            </w:r>
            <w:r w:rsidRPr="00A702FC">
              <w:rPr>
                <w:rFonts w:ascii="Arial" w:hAnsi="Arial" w:cs="Arial"/>
                <w:spacing w:val="-4"/>
                <w:sz w:val="20"/>
                <w:szCs w:val="20"/>
              </w:rPr>
              <w:t xml:space="preserve"> </w:t>
            </w:r>
            <w:r w:rsidRPr="00A702FC">
              <w:rPr>
                <w:rFonts w:ascii="Arial" w:hAnsi="Arial" w:cs="Arial"/>
                <w:sz w:val="20"/>
                <w:szCs w:val="20"/>
              </w:rPr>
              <w:t>the</w:t>
            </w:r>
            <w:r w:rsidRPr="00A702FC">
              <w:rPr>
                <w:rFonts w:ascii="Arial" w:hAnsi="Arial" w:cs="Arial"/>
                <w:spacing w:val="-4"/>
                <w:sz w:val="20"/>
                <w:szCs w:val="20"/>
              </w:rPr>
              <w:t xml:space="preserve"> </w:t>
            </w:r>
            <w:r w:rsidRPr="00A702FC">
              <w:rPr>
                <w:rFonts w:ascii="Arial" w:hAnsi="Arial" w:cs="Arial"/>
                <w:sz w:val="20"/>
                <w:szCs w:val="20"/>
              </w:rPr>
              <w:t>months</w:t>
            </w:r>
            <w:r w:rsidRPr="00A702FC">
              <w:rPr>
                <w:rFonts w:ascii="Arial" w:hAnsi="Arial" w:cs="Arial"/>
                <w:spacing w:val="-5"/>
                <w:sz w:val="20"/>
                <w:szCs w:val="20"/>
              </w:rPr>
              <w:t xml:space="preserve"> </w:t>
            </w:r>
            <w:r w:rsidRPr="00A702FC">
              <w:rPr>
                <w:rFonts w:ascii="Arial" w:hAnsi="Arial" w:cs="Arial"/>
                <w:sz w:val="20"/>
                <w:szCs w:val="20"/>
              </w:rPr>
              <w:t>of</w:t>
            </w:r>
            <w:r w:rsidRPr="00A702FC">
              <w:rPr>
                <w:rFonts w:ascii="Arial" w:hAnsi="Arial" w:cs="Arial"/>
                <w:spacing w:val="-2"/>
                <w:sz w:val="20"/>
                <w:szCs w:val="20"/>
              </w:rPr>
              <w:t xml:space="preserve"> </w:t>
            </w:r>
            <w:r w:rsidRPr="00A702FC">
              <w:rPr>
                <w:rFonts w:ascii="Arial" w:hAnsi="Arial" w:cs="Arial"/>
                <w:sz w:val="20"/>
                <w:szCs w:val="20"/>
              </w:rPr>
              <w:t>October</w:t>
            </w:r>
            <w:r w:rsidRPr="00A702FC">
              <w:rPr>
                <w:rFonts w:ascii="Arial" w:hAnsi="Arial" w:cs="Arial"/>
                <w:spacing w:val="-3"/>
                <w:sz w:val="20"/>
                <w:szCs w:val="20"/>
              </w:rPr>
              <w:t xml:space="preserve"> </w:t>
            </w:r>
            <w:r w:rsidRPr="00A702FC">
              <w:rPr>
                <w:rFonts w:ascii="Arial" w:hAnsi="Arial" w:cs="Arial"/>
                <w:sz w:val="20"/>
                <w:szCs w:val="20"/>
              </w:rPr>
              <w:t>to</w:t>
            </w:r>
            <w:r w:rsidRPr="00A702FC">
              <w:rPr>
                <w:rFonts w:ascii="Arial" w:hAnsi="Arial" w:cs="Arial"/>
                <w:spacing w:val="-3"/>
                <w:sz w:val="20"/>
                <w:szCs w:val="20"/>
              </w:rPr>
              <w:t xml:space="preserve"> </w:t>
            </w:r>
            <w:r w:rsidRPr="00A702FC">
              <w:rPr>
                <w:rFonts w:ascii="Arial" w:hAnsi="Arial" w:cs="Arial"/>
                <w:sz w:val="20"/>
                <w:szCs w:val="20"/>
              </w:rPr>
              <w:t>March</w:t>
            </w:r>
            <w:r w:rsidRPr="00A702FC">
              <w:rPr>
                <w:rFonts w:ascii="Arial" w:hAnsi="Arial" w:cs="Arial"/>
                <w:spacing w:val="-3"/>
                <w:sz w:val="20"/>
                <w:szCs w:val="20"/>
              </w:rPr>
              <w:t xml:space="preserve"> </w:t>
            </w:r>
            <w:r w:rsidRPr="00A702FC">
              <w:rPr>
                <w:rFonts w:ascii="Arial" w:hAnsi="Arial" w:cs="Arial"/>
                <w:sz w:val="20"/>
                <w:szCs w:val="20"/>
              </w:rPr>
              <w:t>for</w:t>
            </w:r>
            <w:r w:rsidRPr="00A702FC">
              <w:rPr>
                <w:rFonts w:ascii="Arial" w:hAnsi="Arial" w:cs="Arial"/>
                <w:spacing w:val="-3"/>
                <w:sz w:val="20"/>
                <w:szCs w:val="20"/>
              </w:rPr>
              <w:t xml:space="preserve"> </w:t>
            </w:r>
            <w:r w:rsidRPr="00A702FC">
              <w:rPr>
                <w:rFonts w:ascii="Arial" w:hAnsi="Arial" w:cs="Arial"/>
                <w:sz w:val="20"/>
                <w:szCs w:val="20"/>
              </w:rPr>
              <w:t>the</w:t>
            </w:r>
            <w:r w:rsidRPr="00A702FC">
              <w:rPr>
                <w:rFonts w:ascii="Arial" w:hAnsi="Arial" w:cs="Arial"/>
                <w:spacing w:val="-4"/>
                <w:sz w:val="20"/>
                <w:szCs w:val="20"/>
              </w:rPr>
              <w:t xml:space="preserve"> </w:t>
            </w:r>
            <w:r w:rsidRPr="00A702FC">
              <w:rPr>
                <w:rFonts w:ascii="Arial" w:hAnsi="Arial" w:cs="Arial"/>
                <w:sz w:val="20"/>
                <w:szCs w:val="20"/>
              </w:rPr>
              <w:t>following</w:t>
            </w:r>
            <w:r w:rsidRPr="00A702FC">
              <w:rPr>
                <w:rFonts w:ascii="Arial" w:hAnsi="Arial" w:cs="Arial"/>
                <w:spacing w:val="-4"/>
                <w:sz w:val="20"/>
                <w:szCs w:val="20"/>
              </w:rPr>
              <w:t xml:space="preserve"> </w:t>
            </w:r>
            <w:r w:rsidRPr="00A702FC">
              <w:rPr>
                <w:rFonts w:ascii="Arial" w:hAnsi="Arial" w:cs="Arial"/>
                <w:sz w:val="20"/>
                <w:szCs w:val="20"/>
              </w:rPr>
              <w:t>financial</w:t>
            </w:r>
            <w:r w:rsidRPr="00A702FC">
              <w:rPr>
                <w:rFonts w:ascii="Arial" w:hAnsi="Arial" w:cs="Arial"/>
                <w:spacing w:val="-4"/>
                <w:sz w:val="20"/>
                <w:szCs w:val="20"/>
              </w:rPr>
              <w:t xml:space="preserve"> </w:t>
            </w:r>
            <w:r w:rsidRPr="00A702FC">
              <w:rPr>
                <w:rFonts w:ascii="Arial" w:hAnsi="Arial" w:cs="Arial"/>
                <w:sz w:val="20"/>
                <w:szCs w:val="20"/>
              </w:rPr>
              <w:t>year.</w:t>
            </w:r>
          </w:p>
        </w:tc>
      </w:tr>
      <w:tr w:rsidR="009A5324" w:rsidRPr="00A702FC" w14:paraId="6FC2FA03" w14:textId="77777777" w:rsidTr="00463502">
        <w:trPr>
          <w:trHeight w:val="844"/>
        </w:trPr>
        <w:tc>
          <w:tcPr>
            <w:tcW w:w="2398" w:type="dxa"/>
          </w:tcPr>
          <w:p w14:paraId="6D21E065" w14:textId="11BC560B" w:rsidR="009A5324" w:rsidRPr="00A702FC" w:rsidRDefault="003D2316" w:rsidP="004360AA">
            <w:pPr>
              <w:pStyle w:val="BodyText"/>
              <w:ind w:right="568"/>
              <w:rPr>
                <w:rFonts w:ascii="Arial" w:hAnsi="Arial" w:cs="Arial"/>
                <w:b/>
                <w:bCs/>
              </w:rPr>
            </w:pPr>
            <w:r w:rsidRPr="00A702FC">
              <w:rPr>
                <w:rFonts w:ascii="Arial" w:hAnsi="Arial" w:cs="Arial"/>
                <w:b/>
                <w:bCs/>
              </w:rPr>
              <w:t xml:space="preserve">Clinical Effectiveness </w:t>
            </w:r>
          </w:p>
          <w:p w14:paraId="724CE9DE" w14:textId="77777777" w:rsidR="003D2316" w:rsidRPr="00A702FC" w:rsidRDefault="003D2316" w:rsidP="004360AA">
            <w:pPr>
              <w:pStyle w:val="BodyText"/>
              <w:ind w:right="568"/>
              <w:rPr>
                <w:rFonts w:ascii="Arial" w:hAnsi="Arial" w:cs="Arial"/>
                <w:b/>
                <w:bCs/>
              </w:rPr>
            </w:pPr>
          </w:p>
          <w:p w14:paraId="55774809" w14:textId="47AA7B67" w:rsidR="003D2316" w:rsidRPr="00A702FC" w:rsidRDefault="003D2316" w:rsidP="004360AA">
            <w:pPr>
              <w:pStyle w:val="BodyText"/>
              <w:ind w:right="568"/>
              <w:rPr>
                <w:rFonts w:ascii="Arial" w:hAnsi="Arial" w:cs="Arial"/>
                <w:b/>
                <w:bCs/>
              </w:rPr>
            </w:pPr>
          </w:p>
        </w:tc>
        <w:tc>
          <w:tcPr>
            <w:tcW w:w="6618" w:type="dxa"/>
          </w:tcPr>
          <w:p w14:paraId="5C13697E" w14:textId="185EA988" w:rsidR="009A5324" w:rsidRPr="00A702FC" w:rsidRDefault="003D2316" w:rsidP="004360AA">
            <w:pPr>
              <w:pStyle w:val="BodyText"/>
              <w:ind w:right="568"/>
              <w:rPr>
                <w:rFonts w:ascii="Arial" w:hAnsi="Arial" w:cs="Arial"/>
                <w:sz w:val="20"/>
                <w:szCs w:val="20"/>
              </w:rPr>
            </w:pPr>
            <w:r w:rsidRPr="00A702FC">
              <w:rPr>
                <w:rFonts w:ascii="Arial" w:hAnsi="Arial" w:cs="Arial"/>
                <w:sz w:val="20"/>
                <w:szCs w:val="20"/>
              </w:rPr>
              <w:t>C</w:t>
            </w:r>
            <w:r w:rsidRPr="00A702FC">
              <w:rPr>
                <w:rFonts w:ascii="Arial" w:hAnsi="Arial" w:cs="Arial"/>
                <w:i/>
                <w:sz w:val="20"/>
                <w:szCs w:val="20"/>
              </w:rPr>
              <w:t xml:space="preserve">linical effectiveness </w:t>
            </w:r>
            <w:r w:rsidRPr="00A702FC">
              <w:rPr>
                <w:rFonts w:ascii="Arial" w:hAnsi="Arial" w:cs="Arial"/>
                <w:sz w:val="20"/>
                <w:szCs w:val="20"/>
              </w:rPr>
              <w:t>is a measure of how well a healthcare intervention achieves the pre-defined clinical outcomes of interest in a real life population under real life conditions.</w:t>
            </w:r>
          </w:p>
        </w:tc>
      </w:tr>
      <w:tr w:rsidR="009A5324" w:rsidRPr="00A702FC" w14:paraId="1FEE5B47" w14:textId="77777777" w:rsidTr="00812DF9">
        <w:tc>
          <w:tcPr>
            <w:tcW w:w="2398" w:type="dxa"/>
          </w:tcPr>
          <w:p w14:paraId="3806E554" w14:textId="3439E2CE" w:rsidR="009A5324" w:rsidRPr="00A702FC" w:rsidRDefault="003D2316" w:rsidP="004360AA">
            <w:pPr>
              <w:pStyle w:val="BodyText"/>
              <w:ind w:right="568"/>
              <w:rPr>
                <w:rFonts w:ascii="Arial" w:hAnsi="Arial" w:cs="Arial"/>
                <w:b/>
                <w:bCs/>
              </w:rPr>
            </w:pPr>
            <w:r w:rsidRPr="00A702FC">
              <w:rPr>
                <w:rFonts w:ascii="Arial" w:hAnsi="Arial" w:cs="Arial"/>
                <w:b/>
                <w:bCs/>
              </w:rPr>
              <w:t>Clinical Trial</w:t>
            </w:r>
          </w:p>
          <w:p w14:paraId="2828609B" w14:textId="77777777" w:rsidR="003D2316" w:rsidRPr="00A702FC" w:rsidRDefault="003D2316" w:rsidP="004360AA">
            <w:pPr>
              <w:pStyle w:val="BodyText"/>
              <w:ind w:right="568"/>
              <w:rPr>
                <w:rFonts w:ascii="Arial" w:hAnsi="Arial" w:cs="Arial"/>
                <w:b/>
                <w:bCs/>
              </w:rPr>
            </w:pPr>
          </w:p>
          <w:p w14:paraId="25FE2CDE" w14:textId="7B9898BC" w:rsidR="003D2316" w:rsidRPr="00A702FC" w:rsidRDefault="003D2316" w:rsidP="004360AA">
            <w:pPr>
              <w:pStyle w:val="BodyText"/>
              <w:ind w:right="568"/>
              <w:rPr>
                <w:rFonts w:ascii="Arial" w:hAnsi="Arial" w:cs="Arial"/>
                <w:b/>
                <w:bCs/>
              </w:rPr>
            </w:pPr>
          </w:p>
        </w:tc>
        <w:tc>
          <w:tcPr>
            <w:tcW w:w="6618" w:type="dxa"/>
          </w:tcPr>
          <w:p w14:paraId="56752ED9" w14:textId="16268AF4" w:rsidR="003D2316" w:rsidRPr="00A702FC" w:rsidRDefault="003D2316" w:rsidP="003D2316">
            <w:pPr>
              <w:pStyle w:val="TableParagraph"/>
              <w:ind w:left="0" w:right="143"/>
              <w:rPr>
                <w:rFonts w:ascii="Arial" w:hAnsi="Arial" w:cs="Arial"/>
                <w:sz w:val="20"/>
                <w:szCs w:val="20"/>
              </w:rPr>
            </w:pPr>
            <w:r w:rsidRPr="00A702FC">
              <w:rPr>
                <w:rFonts w:ascii="Arial" w:hAnsi="Arial" w:cs="Arial"/>
                <w:i/>
                <w:sz w:val="20"/>
                <w:szCs w:val="20"/>
              </w:rPr>
              <w:t xml:space="preserve">A clinical trial </w:t>
            </w:r>
            <w:r w:rsidRPr="00A702FC">
              <w:rPr>
                <w:rFonts w:ascii="Arial" w:hAnsi="Arial" w:cs="Arial"/>
                <w:iCs/>
                <w:sz w:val="20"/>
                <w:szCs w:val="20"/>
              </w:rPr>
              <w:t xml:space="preserve">is any research study that prospectively assigns human participants or groups of humans to one or more health-related interventions to evaluate the effects on health outcomes. Interventions include but are not restricted to drugs, cells and other biological products, surgical procedures, radiological procedures, devices, </w:t>
            </w:r>
            <w:r w:rsidR="009A3353" w:rsidRPr="00A702FC">
              <w:rPr>
                <w:rFonts w:ascii="Arial" w:hAnsi="Arial" w:cs="Arial"/>
                <w:iCs/>
                <w:sz w:val="20"/>
                <w:szCs w:val="20"/>
              </w:rPr>
              <w:t>behavioral</w:t>
            </w:r>
            <w:r w:rsidRPr="00A702FC">
              <w:rPr>
                <w:rFonts w:ascii="Arial" w:hAnsi="Arial" w:cs="Arial"/>
                <w:iCs/>
                <w:sz w:val="20"/>
                <w:szCs w:val="20"/>
              </w:rPr>
              <w:t xml:space="preserve"> treatments, process-of-care changes, preventive care, etc</w:t>
            </w:r>
            <w:r w:rsidRPr="00A702FC">
              <w:rPr>
                <w:rFonts w:ascii="Arial" w:hAnsi="Arial" w:cs="Arial"/>
                <w:i/>
                <w:sz w:val="20"/>
                <w:szCs w:val="20"/>
              </w:rPr>
              <w:t>.</w:t>
            </w:r>
          </w:p>
          <w:p w14:paraId="68930EC0" w14:textId="77777777" w:rsidR="003D2316" w:rsidRPr="00A702FC" w:rsidRDefault="003D2316" w:rsidP="003D2316">
            <w:pPr>
              <w:pStyle w:val="TableParagraph"/>
              <w:spacing w:before="11"/>
              <w:ind w:left="0"/>
              <w:rPr>
                <w:rFonts w:ascii="Arial" w:hAnsi="Arial" w:cs="Arial"/>
                <w:b/>
                <w:sz w:val="20"/>
                <w:szCs w:val="20"/>
              </w:rPr>
            </w:pPr>
          </w:p>
          <w:p w14:paraId="441FEDC7" w14:textId="375ECD11" w:rsidR="00ED6028" w:rsidRPr="00A702FC" w:rsidRDefault="003D2316" w:rsidP="00463502">
            <w:pPr>
              <w:pStyle w:val="TableParagraph"/>
              <w:spacing w:before="1"/>
              <w:ind w:left="0" w:right="241"/>
              <w:rPr>
                <w:rStyle w:val="Hyperlink"/>
                <w:rFonts w:ascii="Arial" w:hAnsi="Arial" w:cs="Arial"/>
              </w:rPr>
            </w:pPr>
            <w:r w:rsidRPr="00A702FC">
              <w:rPr>
                <w:rFonts w:ascii="Arial" w:hAnsi="Arial" w:cs="Arial"/>
                <w:sz w:val="20"/>
                <w:szCs w:val="20"/>
              </w:rPr>
              <w:t xml:space="preserve">The ethical framework for conducting trials of medicinal products is set out in the Medicines for Human Use (Clinical Trials) Regulations 2004 (as amended). It includes, but does not refer exclusively to, randomised control trials. All research in the NHS, including Clinical Trials must adhere to the UK Policy Framework for Health and Social Care Research, 2017 DHSC </w:t>
            </w:r>
            <w:hyperlink r:id="rId16" w:history="1">
              <w:r w:rsidRPr="00A702FC">
                <w:rPr>
                  <w:rStyle w:val="Hyperlink"/>
                  <w:rFonts w:ascii="Arial" w:hAnsi="Arial" w:cs="Arial"/>
                  <w:sz w:val="20"/>
                  <w:szCs w:val="20"/>
                </w:rPr>
                <w:t>https://www.hra.nhs.uk/planning-and-improving-research/policies-standards-legislation/uk-policy-framework-health-social-care-research/</w:t>
              </w:r>
            </w:hyperlink>
          </w:p>
          <w:p w14:paraId="230C0A28" w14:textId="77777777" w:rsidR="009A5324" w:rsidRPr="00A702FC" w:rsidRDefault="009A5324" w:rsidP="004360AA">
            <w:pPr>
              <w:pStyle w:val="BodyText"/>
              <w:ind w:right="568"/>
              <w:rPr>
                <w:rFonts w:ascii="Arial" w:hAnsi="Arial" w:cs="Arial"/>
              </w:rPr>
            </w:pPr>
          </w:p>
        </w:tc>
      </w:tr>
      <w:tr w:rsidR="009A5324" w:rsidRPr="00A702FC" w14:paraId="3D06D34F" w14:textId="77777777" w:rsidTr="00812DF9">
        <w:tc>
          <w:tcPr>
            <w:tcW w:w="2398" w:type="dxa"/>
          </w:tcPr>
          <w:p w14:paraId="163075DB" w14:textId="73E15382" w:rsidR="009A5324" w:rsidRPr="00A702FC" w:rsidRDefault="003D2316" w:rsidP="004360AA">
            <w:pPr>
              <w:pStyle w:val="BodyText"/>
              <w:ind w:right="568"/>
              <w:rPr>
                <w:rFonts w:ascii="Arial" w:hAnsi="Arial" w:cs="Arial"/>
                <w:b/>
                <w:bCs/>
              </w:rPr>
            </w:pPr>
            <w:r w:rsidRPr="00A702FC">
              <w:rPr>
                <w:rFonts w:ascii="Arial" w:hAnsi="Arial" w:cs="Arial"/>
                <w:b/>
                <w:bCs/>
              </w:rPr>
              <w:t>Cost Effectiveness</w:t>
            </w:r>
          </w:p>
        </w:tc>
        <w:tc>
          <w:tcPr>
            <w:tcW w:w="6618" w:type="dxa"/>
          </w:tcPr>
          <w:p w14:paraId="3ACEC159" w14:textId="77777777" w:rsidR="009A5324" w:rsidRPr="00A702FC" w:rsidRDefault="003D2316" w:rsidP="004360AA">
            <w:pPr>
              <w:pStyle w:val="BodyText"/>
              <w:ind w:right="568"/>
              <w:rPr>
                <w:rFonts w:ascii="Arial" w:hAnsi="Arial" w:cs="Arial"/>
                <w:sz w:val="20"/>
                <w:szCs w:val="20"/>
              </w:rPr>
            </w:pPr>
            <w:r w:rsidRPr="00A702FC">
              <w:rPr>
                <w:rFonts w:ascii="Arial" w:hAnsi="Arial" w:cs="Arial"/>
                <w:i/>
                <w:sz w:val="20"/>
                <w:szCs w:val="20"/>
              </w:rPr>
              <w:t xml:space="preserve">Cost effectiveness analysis </w:t>
            </w:r>
            <w:r w:rsidRPr="00A702FC">
              <w:rPr>
                <w:rFonts w:ascii="Arial" w:hAnsi="Arial" w:cs="Arial"/>
                <w:sz w:val="20"/>
                <w:szCs w:val="20"/>
              </w:rPr>
              <w:t>is a method for assessing or measuring the reasonably anticipated benefits and clinical effectiveness of a particular expenditure. In the health setting this will be the cost of a particular healthcare intervention together with any other costs of delivering the healthcare intervention. Cost effectiveness analysis requires an examination of expenditure to determine whether the money spent could have been used more effectively (and ideally - whether the resulting benefits could have been attained through less financial outlay).</w:t>
            </w:r>
          </w:p>
          <w:p w14:paraId="5C261BD6" w14:textId="3E78C949" w:rsidR="00ED6028" w:rsidRPr="00A702FC" w:rsidRDefault="00ED6028" w:rsidP="004360AA">
            <w:pPr>
              <w:pStyle w:val="BodyText"/>
              <w:ind w:right="568"/>
              <w:rPr>
                <w:rFonts w:ascii="Arial" w:hAnsi="Arial" w:cs="Arial"/>
              </w:rPr>
            </w:pPr>
          </w:p>
        </w:tc>
      </w:tr>
      <w:tr w:rsidR="009A5324" w:rsidRPr="00A702FC" w14:paraId="4E41AB6C" w14:textId="77777777" w:rsidTr="00812DF9">
        <w:tc>
          <w:tcPr>
            <w:tcW w:w="2398" w:type="dxa"/>
          </w:tcPr>
          <w:p w14:paraId="7F1E1C7C" w14:textId="600A4572" w:rsidR="003D2316" w:rsidRPr="00A702FC" w:rsidRDefault="003D2316" w:rsidP="004360AA">
            <w:pPr>
              <w:pStyle w:val="BodyText"/>
              <w:ind w:right="568"/>
              <w:rPr>
                <w:rFonts w:ascii="Arial" w:hAnsi="Arial" w:cs="Arial"/>
                <w:b/>
                <w:bCs/>
              </w:rPr>
            </w:pPr>
            <w:r w:rsidRPr="00A702FC">
              <w:rPr>
                <w:rFonts w:ascii="Arial" w:hAnsi="Arial" w:cs="Arial"/>
                <w:b/>
                <w:bCs/>
              </w:rPr>
              <w:t>Effectiveness - General</w:t>
            </w:r>
          </w:p>
          <w:p w14:paraId="49E54D1F" w14:textId="77D3457F" w:rsidR="003D2316" w:rsidRPr="00A702FC" w:rsidRDefault="003D2316" w:rsidP="004360AA">
            <w:pPr>
              <w:pStyle w:val="BodyText"/>
              <w:ind w:right="568"/>
              <w:rPr>
                <w:rFonts w:ascii="Arial" w:hAnsi="Arial" w:cs="Arial"/>
                <w:b/>
                <w:bCs/>
              </w:rPr>
            </w:pPr>
          </w:p>
        </w:tc>
        <w:tc>
          <w:tcPr>
            <w:tcW w:w="6618" w:type="dxa"/>
          </w:tcPr>
          <w:p w14:paraId="7CCC8CC7" w14:textId="4D10A2F0" w:rsidR="009A5324" w:rsidRPr="00A702FC" w:rsidRDefault="003D2316" w:rsidP="004360AA">
            <w:pPr>
              <w:pStyle w:val="BodyText"/>
              <w:ind w:right="568"/>
              <w:rPr>
                <w:rFonts w:ascii="Arial" w:hAnsi="Arial" w:cs="Arial"/>
                <w:sz w:val="20"/>
                <w:szCs w:val="20"/>
              </w:rPr>
            </w:pPr>
            <w:r w:rsidRPr="00A702FC">
              <w:rPr>
                <w:rFonts w:ascii="Arial" w:hAnsi="Arial" w:cs="Arial"/>
                <w:i/>
                <w:sz w:val="20"/>
                <w:szCs w:val="20"/>
              </w:rPr>
              <w:t xml:space="preserve">Effectiveness </w:t>
            </w:r>
            <w:r w:rsidRPr="00A702FC">
              <w:rPr>
                <w:rFonts w:ascii="Arial" w:hAnsi="Arial" w:cs="Arial"/>
                <w:sz w:val="20"/>
                <w:szCs w:val="20"/>
              </w:rPr>
              <w:t>means the degree to which pre-defined objectives are achieved and the extent to which targeted problems are resolved.</w:t>
            </w:r>
          </w:p>
        </w:tc>
      </w:tr>
      <w:tr w:rsidR="003D2316" w:rsidRPr="00A702FC" w14:paraId="49C9D78C" w14:textId="77777777" w:rsidTr="00812DF9">
        <w:tc>
          <w:tcPr>
            <w:tcW w:w="2398" w:type="dxa"/>
          </w:tcPr>
          <w:p w14:paraId="1D739BB4" w14:textId="3C1B8D55" w:rsidR="003D2316" w:rsidRPr="00A702FC" w:rsidRDefault="003D2316" w:rsidP="003D2316">
            <w:pPr>
              <w:pStyle w:val="BodyText"/>
              <w:ind w:right="568"/>
              <w:rPr>
                <w:rFonts w:ascii="Arial" w:hAnsi="Arial" w:cs="Arial"/>
                <w:b/>
                <w:bCs/>
              </w:rPr>
            </w:pPr>
            <w:r w:rsidRPr="00A702FC">
              <w:rPr>
                <w:rFonts w:ascii="Arial" w:hAnsi="Arial" w:cs="Arial"/>
                <w:b/>
                <w:bCs/>
              </w:rPr>
              <w:t>Effectiveness - Clinical</w:t>
            </w:r>
          </w:p>
          <w:p w14:paraId="485A3543" w14:textId="0516FD56" w:rsidR="003D2316" w:rsidRPr="00A702FC" w:rsidRDefault="003D2316" w:rsidP="003D2316">
            <w:pPr>
              <w:pStyle w:val="BodyText"/>
              <w:ind w:right="568"/>
              <w:rPr>
                <w:rFonts w:ascii="Arial" w:hAnsi="Arial" w:cs="Arial"/>
                <w:b/>
                <w:bCs/>
              </w:rPr>
            </w:pPr>
          </w:p>
        </w:tc>
        <w:tc>
          <w:tcPr>
            <w:tcW w:w="6618" w:type="dxa"/>
          </w:tcPr>
          <w:p w14:paraId="47BA1BD0" w14:textId="17B70FA5" w:rsidR="003D2316" w:rsidRPr="00A702FC" w:rsidRDefault="003D2316" w:rsidP="003D2316">
            <w:pPr>
              <w:pStyle w:val="BodyText"/>
              <w:ind w:right="568"/>
              <w:rPr>
                <w:rFonts w:ascii="Arial" w:hAnsi="Arial" w:cs="Arial"/>
                <w:sz w:val="20"/>
                <w:szCs w:val="20"/>
              </w:rPr>
            </w:pPr>
            <w:r w:rsidRPr="00A702FC">
              <w:rPr>
                <w:rFonts w:ascii="Arial" w:hAnsi="Arial" w:cs="Arial"/>
                <w:sz w:val="20"/>
                <w:szCs w:val="20"/>
              </w:rPr>
              <w:t>C</w:t>
            </w:r>
            <w:r w:rsidRPr="00A702FC">
              <w:rPr>
                <w:rFonts w:ascii="Arial" w:hAnsi="Arial" w:cs="Arial"/>
                <w:i/>
                <w:sz w:val="20"/>
                <w:szCs w:val="20"/>
              </w:rPr>
              <w:t xml:space="preserve">linical effectiveness </w:t>
            </w:r>
            <w:r w:rsidRPr="00A702FC">
              <w:rPr>
                <w:rFonts w:ascii="Arial" w:hAnsi="Arial" w:cs="Arial"/>
                <w:sz w:val="20"/>
                <w:szCs w:val="20"/>
              </w:rPr>
              <w:t>is a measure of the extent to which a treatment achieves pre- defined clinical outcomes in a target patient population.</w:t>
            </w:r>
          </w:p>
        </w:tc>
      </w:tr>
      <w:tr w:rsidR="003D2316" w:rsidRPr="00A702FC" w14:paraId="64790220" w14:textId="77777777" w:rsidTr="00812DF9">
        <w:tc>
          <w:tcPr>
            <w:tcW w:w="2398" w:type="dxa"/>
          </w:tcPr>
          <w:p w14:paraId="7CB10F08" w14:textId="34C36814" w:rsidR="003D2316" w:rsidRPr="00A702FC" w:rsidRDefault="003D2316" w:rsidP="003D2316">
            <w:pPr>
              <w:pStyle w:val="BodyText"/>
              <w:ind w:right="568"/>
              <w:rPr>
                <w:rFonts w:ascii="Arial" w:hAnsi="Arial" w:cs="Arial"/>
              </w:rPr>
            </w:pPr>
            <w:r w:rsidRPr="00A702FC">
              <w:rPr>
                <w:rFonts w:ascii="Arial" w:hAnsi="Arial" w:cs="Arial"/>
                <w:b/>
              </w:rPr>
              <w:t>Efficacious</w:t>
            </w:r>
          </w:p>
          <w:p w14:paraId="579917E3" w14:textId="77777777" w:rsidR="003D2316" w:rsidRPr="00A702FC" w:rsidRDefault="003D2316" w:rsidP="003D2316">
            <w:pPr>
              <w:pStyle w:val="BodyText"/>
              <w:ind w:right="568"/>
              <w:rPr>
                <w:rFonts w:ascii="Arial" w:hAnsi="Arial" w:cs="Arial"/>
              </w:rPr>
            </w:pPr>
          </w:p>
          <w:p w14:paraId="5F5EFFA8" w14:textId="2F9A9028" w:rsidR="003D2316" w:rsidRPr="00A702FC" w:rsidRDefault="003D2316" w:rsidP="003D2316">
            <w:pPr>
              <w:pStyle w:val="BodyText"/>
              <w:ind w:right="568"/>
              <w:rPr>
                <w:rFonts w:ascii="Arial" w:hAnsi="Arial" w:cs="Arial"/>
              </w:rPr>
            </w:pPr>
          </w:p>
        </w:tc>
        <w:tc>
          <w:tcPr>
            <w:tcW w:w="6618" w:type="dxa"/>
          </w:tcPr>
          <w:p w14:paraId="2580EE8E" w14:textId="3D5C85DD" w:rsidR="003D2316" w:rsidRPr="00A702FC" w:rsidRDefault="003D2316" w:rsidP="003D2316">
            <w:pPr>
              <w:pStyle w:val="BodyText"/>
              <w:ind w:right="568"/>
              <w:rPr>
                <w:rFonts w:ascii="Arial" w:hAnsi="Arial" w:cs="Arial"/>
                <w:sz w:val="20"/>
                <w:szCs w:val="20"/>
              </w:rPr>
            </w:pPr>
            <w:r w:rsidRPr="00A702FC">
              <w:rPr>
                <w:rFonts w:ascii="Arial" w:hAnsi="Arial" w:cs="Arial"/>
                <w:sz w:val="20"/>
                <w:szCs w:val="20"/>
              </w:rPr>
              <w:t xml:space="preserve">A treatment is </w:t>
            </w:r>
            <w:r w:rsidRPr="00A702FC">
              <w:rPr>
                <w:rFonts w:ascii="Arial" w:hAnsi="Arial" w:cs="Arial"/>
                <w:i/>
                <w:sz w:val="20"/>
                <w:szCs w:val="20"/>
              </w:rPr>
              <w:t xml:space="preserve">efficacious </w:t>
            </w:r>
            <w:r w:rsidRPr="00A702FC">
              <w:rPr>
                <w:rFonts w:ascii="Arial" w:hAnsi="Arial" w:cs="Arial"/>
                <w:sz w:val="20"/>
                <w:szCs w:val="20"/>
              </w:rPr>
              <w:t xml:space="preserve">where it has been shown to have an effect in a carefully controlled and optimal environment. However, it is not always possible to have confidence that data from trials which suggest that treatments will be efficacious will translate into clinically meaningful health gain and more specifically the health gain of interest. This is the difference between </w:t>
            </w:r>
            <w:r w:rsidR="009A3353" w:rsidRPr="00A702FC">
              <w:rPr>
                <w:rFonts w:ascii="Arial" w:hAnsi="Arial" w:cs="Arial"/>
                <w:sz w:val="20"/>
                <w:szCs w:val="20"/>
              </w:rPr>
              <w:t>disease-oriented</w:t>
            </w:r>
            <w:r w:rsidRPr="00A702FC">
              <w:rPr>
                <w:rFonts w:ascii="Arial" w:hAnsi="Arial" w:cs="Arial"/>
                <w:sz w:val="20"/>
                <w:szCs w:val="20"/>
              </w:rPr>
              <w:t xml:space="preserve"> outcomes and patient oriented outcomes. For </w:t>
            </w:r>
            <w:r w:rsidR="009A3353" w:rsidRPr="00A702FC">
              <w:rPr>
                <w:rFonts w:ascii="Arial" w:hAnsi="Arial" w:cs="Arial"/>
                <w:sz w:val="20"/>
                <w:szCs w:val="20"/>
              </w:rPr>
              <w:t>example,</w:t>
            </w:r>
            <w:r w:rsidRPr="00A702FC">
              <w:rPr>
                <w:rFonts w:ascii="Arial" w:hAnsi="Arial" w:cs="Arial"/>
                <w:sz w:val="20"/>
                <w:szCs w:val="20"/>
              </w:rPr>
              <w:t xml:space="preserve"> a treatment might have demonstrated a change in some physiological factor which is used as a proxy measure for </w:t>
            </w:r>
            <w:r w:rsidRPr="00A702FC">
              <w:rPr>
                <w:rFonts w:ascii="Arial" w:hAnsi="Arial" w:cs="Arial"/>
                <w:sz w:val="20"/>
                <w:szCs w:val="20"/>
              </w:rPr>
              <w:lastRenderedPageBreak/>
              <w:t>increased life expectancy but this relationship might not be borne out in reality.</w:t>
            </w:r>
          </w:p>
          <w:p w14:paraId="5A82BC27" w14:textId="28DC4648" w:rsidR="00ED6028" w:rsidRPr="00A702FC" w:rsidRDefault="00ED6028" w:rsidP="003D2316">
            <w:pPr>
              <w:pStyle w:val="BodyText"/>
              <w:ind w:right="568"/>
              <w:rPr>
                <w:rFonts w:ascii="Arial" w:hAnsi="Arial" w:cs="Arial"/>
              </w:rPr>
            </w:pPr>
          </w:p>
        </w:tc>
      </w:tr>
      <w:tr w:rsidR="003D2316" w:rsidRPr="00A702FC" w14:paraId="7C06FCCA" w14:textId="77777777" w:rsidTr="00812DF9">
        <w:tc>
          <w:tcPr>
            <w:tcW w:w="2398" w:type="dxa"/>
          </w:tcPr>
          <w:p w14:paraId="11F9F5A8" w14:textId="7880AE60" w:rsidR="003D2316" w:rsidRPr="00A702FC" w:rsidRDefault="006A112D" w:rsidP="003D2316">
            <w:pPr>
              <w:pStyle w:val="BodyText"/>
              <w:ind w:right="568"/>
              <w:rPr>
                <w:rFonts w:ascii="Arial" w:hAnsi="Arial" w:cs="Arial"/>
              </w:rPr>
            </w:pPr>
            <w:r w:rsidRPr="00A702FC">
              <w:rPr>
                <w:rFonts w:ascii="Arial" w:hAnsi="Arial" w:cs="Arial"/>
                <w:b/>
              </w:rPr>
              <w:lastRenderedPageBreak/>
              <w:t>Experimental and unproven treatments</w:t>
            </w:r>
          </w:p>
          <w:p w14:paraId="11537D4A" w14:textId="2DF458A8" w:rsidR="003D2316" w:rsidRPr="00A702FC" w:rsidRDefault="003D2316" w:rsidP="003D2316">
            <w:pPr>
              <w:pStyle w:val="BodyText"/>
              <w:ind w:right="568"/>
              <w:rPr>
                <w:rFonts w:asciiTheme="minorHAnsi" w:hAnsiTheme="minorHAnsi" w:cstheme="minorHAnsi"/>
              </w:rPr>
            </w:pPr>
          </w:p>
        </w:tc>
        <w:tc>
          <w:tcPr>
            <w:tcW w:w="6618" w:type="dxa"/>
          </w:tcPr>
          <w:p w14:paraId="39965745" w14:textId="77777777" w:rsidR="006A112D" w:rsidRPr="00A702FC" w:rsidRDefault="006A112D" w:rsidP="006A112D">
            <w:pPr>
              <w:pStyle w:val="TableParagraph"/>
              <w:ind w:right="794"/>
              <w:jc w:val="both"/>
              <w:rPr>
                <w:rFonts w:ascii="Arial" w:hAnsi="Arial" w:cs="Arial"/>
                <w:sz w:val="20"/>
                <w:szCs w:val="20"/>
              </w:rPr>
            </w:pPr>
            <w:r w:rsidRPr="00A702FC">
              <w:rPr>
                <w:rFonts w:ascii="Arial" w:hAnsi="Arial" w:cs="Arial"/>
                <w:i/>
                <w:sz w:val="20"/>
                <w:szCs w:val="20"/>
              </w:rPr>
              <w:t xml:space="preserve">Experimental and unproven treatments </w:t>
            </w:r>
            <w:r w:rsidRPr="00A702FC">
              <w:rPr>
                <w:rFonts w:ascii="Arial" w:hAnsi="Arial" w:cs="Arial"/>
                <w:sz w:val="20"/>
                <w:szCs w:val="20"/>
              </w:rPr>
              <w:t>are medical treatments or proposed treatments where there is no established body of evidence to show that the treatments are clinically effective.  The reasons may include the following:</w:t>
            </w:r>
          </w:p>
          <w:p w14:paraId="579ED6FE" w14:textId="77777777" w:rsidR="006A112D" w:rsidRPr="00A702FC" w:rsidRDefault="006A112D" w:rsidP="006A112D">
            <w:pPr>
              <w:pStyle w:val="TableParagraph"/>
              <w:spacing w:before="9"/>
              <w:ind w:left="0"/>
              <w:rPr>
                <w:rFonts w:ascii="Arial" w:hAnsi="Arial" w:cs="Arial"/>
                <w:b/>
                <w:sz w:val="20"/>
                <w:szCs w:val="20"/>
              </w:rPr>
            </w:pPr>
          </w:p>
          <w:p w14:paraId="03AAC1D1" w14:textId="77777777" w:rsidR="006A112D" w:rsidRPr="00A702FC" w:rsidRDefault="006A112D" w:rsidP="008558A9">
            <w:pPr>
              <w:pStyle w:val="TableParagraph"/>
              <w:numPr>
                <w:ilvl w:val="0"/>
                <w:numId w:val="4"/>
              </w:numPr>
              <w:tabs>
                <w:tab w:val="left" w:pos="513"/>
                <w:tab w:val="left" w:pos="514"/>
              </w:tabs>
              <w:spacing w:before="1" w:line="255" w:lineRule="exact"/>
              <w:rPr>
                <w:rFonts w:ascii="Arial" w:hAnsi="Arial" w:cs="Arial"/>
                <w:sz w:val="20"/>
                <w:szCs w:val="20"/>
              </w:rPr>
            </w:pPr>
            <w:r w:rsidRPr="00A702FC">
              <w:rPr>
                <w:rFonts w:ascii="Arial" w:hAnsi="Arial" w:cs="Arial"/>
                <w:sz w:val="20"/>
                <w:szCs w:val="20"/>
              </w:rPr>
              <w:t>The treatment is still undergoing clinical trials for the indication in</w:t>
            </w:r>
            <w:r w:rsidRPr="00A702FC">
              <w:rPr>
                <w:rFonts w:ascii="Arial" w:hAnsi="Arial" w:cs="Arial"/>
                <w:spacing w:val="-28"/>
                <w:sz w:val="20"/>
                <w:szCs w:val="20"/>
              </w:rPr>
              <w:t xml:space="preserve"> </w:t>
            </w:r>
            <w:r w:rsidRPr="00A702FC">
              <w:rPr>
                <w:rFonts w:ascii="Arial" w:hAnsi="Arial" w:cs="Arial"/>
                <w:sz w:val="20"/>
                <w:szCs w:val="20"/>
              </w:rPr>
              <w:t>question.</w:t>
            </w:r>
          </w:p>
          <w:p w14:paraId="48DA25D9" w14:textId="77777777" w:rsidR="006A112D" w:rsidRPr="00A702FC" w:rsidRDefault="006A112D" w:rsidP="008558A9">
            <w:pPr>
              <w:pStyle w:val="TableParagraph"/>
              <w:numPr>
                <w:ilvl w:val="0"/>
                <w:numId w:val="4"/>
              </w:numPr>
              <w:tabs>
                <w:tab w:val="left" w:pos="513"/>
                <w:tab w:val="left" w:pos="514"/>
              </w:tabs>
              <w:spacing w:line="254" w:lineRule="exact"/>
              <w:rPr>
                <w:rFonts w:ascii="Arial" w:hAnsi="Arial" w:cs="Arial"/>
                <w:sz w:val="20"/>
                <w:szCs w:val="20"/>
              </w:rPr>
            </w:pPr>
            <w:r w:rsidRPr="00A702FC">
              <w:rPr>
                <w:rFonts w:ascii="Arial" w:hAnsi="Arial" w:cs="Arial"/>
                <w:sz w:val="20"/>
                <w:szCs w:val="20"/>
              </w:rPr>
              <w:t>The evidence is not available for public</w:t>
            </w:r>
            <w:r w:rsidRPr="00A702FC">
              <w:rPr>
                <w:rFonts w:ascii="Arial" w:hAnsi="Arial" w:cs="Arial"/>
                <w:spacing w:val="-19"/>
                <w:sz w:val="20"/>
                <w:szCs w:val="20"/>
              </w:rPr>
              <w:t xml:space="preserve"> </w:t>
            </w:r>
            <w:r w:rsidRPr="00A702FC">
              <w:rPr>
                <w:rFonts w:ascii="Arial" w:hAnsi="Arial" w:cs="Arial"/>
                <w:sz w:val="20"/>
                <w:szCs w:val="20"/>
              </w:rPr>
              <w:t>scrutiny.</w:t>
            </w:r>
          </w:p>
          <w:p w14:paraId="73EAD523" w14:textId="77777777" w:rsidR="006A112D" w:rsidRPr="00A702FC" w:rsidRDefault="006A112D" w:rsidP="008558A9">
            <w:pPr>
              <w:pStyle w:val="TableParagraph"/>
              <w:numPr>
                <w:ilvl w:val="0"/>
                <w:numId w:val="4"/>
              </w:numPr>
              <w:tabs>
                <w:tab w:val="left" w:pos="513"/>
                <w:tab w:val="left" w:pos="514"/>
              </w:tabs>
              <w:spacing w:line="254" w:lineRule="exact"/>
              <w:rPr>
                <w:rFonts w:ascii="Arial" w:hAnsi="Arial" w:cs="Arial"/>
                <w:sz w:val="20"/>
                <w:szCs w:val="20"/>
              </w:rPr>
            </w:pPr>
            <w:r w:rsidRPr="00A702FC">
              <w:rPr>
                <w:rFonts w:ascii="Arial" w:hAnsi="Arial" w:cs="Arial"/>
                <w:sz w:val="20"/>
                <w:szCs w:val="20"/>
              </w:rPr>
              <w:t>The treatment does not have approval from the relevant government</w:t>
            </w:r>
            <w:r w:rsidRPr="00A702FC">
              <w:rPr>
                <w:rFonts w:ascii="Arial" w:hAnsi="Arial" w:cs="Arial"/>
                <w:spacing w:val="-30"/>
                <w:sz w:val="20"/>
                <w:szCs w:val="20"/>
              </w:rPr>
              <w:t xml:space="preserve"> </w:t>
            </w:r>
            <w:r w:rsidRPr="00A702FC">
              <w:rPr>
                <w:rFonts w:ascii="Arial" w:hAnsi="Arial" w:cs="Arial"/>
                <w:sz w:val="20"/>
                <w:szCs w:val="20"/>
              </w:rPr>
              <w:t>body.</w:t>
            </w:r>
          </w:p>
          <w:p w14:paraId="12FFA1B8" w14:textId="77777777" w:rsidR="006A112D" w:rsidRPr="00A702FC" w:rsidRDefault="006A112D" w:rsidP="008558A9">
            <w:pPr>
              <w:pStyle w:val="TableParagraph"/>
              <w:numPr>
                <w:ilvl w:val="0"/>
                <w:numId w:val="4"/>
              </w:numPr>
              <w:tabs>
                <w:tab w:val="left" w:pos="513"/>
                <w:tab w:val="left" w:pos="514"/>
              </w:tabs>
              <w:ind w:right="237"/>
              <w:rPr>
                <w:rFonts w:ascii="Arial" w:hAnsi="Arial" w:cs="Arial"/>
                <w:sz w:val="20"/>
                <w:szCs w:val="20"/>
              </w:rPr>
            </w:pPr>
            <w:r w:rsidRPr="00A702FC">
              <w:rPr>
                <w:rFonts w:ascii="Arial" w:hAnsi="Arial" w:cs="Arial"/>
                <w:sz w:val="20"/>
                <w:szCs w:val="20"/>
              </w:rPr>
              <w:t>The treatment does not conform to an established clinical practice in the</w:t>
            </w:r>
            <w:r w:rsidRPr="00A702FC">
              <w:rPr>
                <w:rFonts w:ascii="Arial" w:hAnsi="Arial" w:cs="Arial"/>
                <w:spacing w:val="-31"/>
                <w:sz w:val="20"/>
                <w:szCs w:val="20"/>
              </w:rPr>
              <w:t xml:space="preserve"> </w:t>
            </w:r>
            <w:r w:rsidRPr="00A702FC">
              <w:rPr>
                <w:rFonts w:ascii="Arial" w:hAnsi="Arial" w:cs="Arial"/>
                <w:sz w:val="20"/>
                <w:szCs w:val="20"/>
              </w:rPr>
              <w:t>view of the majority of medical practitioners in the relevant</w:t>
            </w:r>
            <w:r w:rsidRPr="00A702FC">
              <w:rPr>
                <w:rFonts w:ascii="Arial" w:hAnsi="Arial" w:cs="Arial"/>
                <w:spacing w:val="-27"/>
                <w:sz w:val="20"/>
                <w:szCs w:val="20"/>
              </w:rPr>
              <w:t xml:space="preserve"> </w:t>
            </w:r>
            <w:r w:rsidRPr="00A702FC">
              <w:rPr>
                <w:rFonts w:ascii="Arial" w:hAnsi="Arial" w:cs="Arial"/>
                <w:sz w:val="20"/>
                <w:szCs w:val="20"/>
              </w:rPr>
              <w:t>field.</w:t>
            </w:r>
          </w:p>
          <w:p w14:paraId="73EBC903" w14:textId="77777777" w:rsidR="006A112D" w:rsidRPr="00A702FC" w:rsidRDefault="006A112D" w:rsidP="008558A9">
            <w:pPr>
              <w:pStyle w:val="TableParagraph"/>
              <w:numPr>
                <w:ilvl w:val="0"/>
                <w:numId w:val="4"/>
              </w:numPr>
              <w:tabs>
                <w:tab w:val="left" w:pos="513"/>
                <w:tab w:val="left" w:pos="514"/>
              </w:tabs>
              <w:spacing w:before="2"/>
              <w:ind w:right="257"/>
              <w:rPr>
                <w:rFonts w:ascii="Arial" w:hAnsi="Arial" w:cs="Arial"/>
                <w:sz w:val="20"/>
                <w:szCs w:val="20"/>
              </w:rPr>
            </w:pPr>
            <w:r w:rsidRPr="00A702FC">
              <w:rPr>
                <w:rFonts w:ascii="Arial" w:hAnsi="Arial" w:cs="Arial"/>
                <w:sz w:val="20"/>
                <w:szCs w:val="20"/>
              </w:rPr>
              <w:t>The treatment is being used in a way other than that previously studied or</w:t>
            </w:r>
            <w:r w:rsidRPr="00A702FC">
              <w:rPr>
                <w:rFonts w:ascii="Arial" w:hAnsi="Arial" w:cs="Arial"/>
                <w:spacing w:val="-26"/>
                <w:sz w:val="20"/>
                <w:szCs w:val="20"/>
              </w:rPr>
              <w:t xml:space="preserve"> </w:t>
            </w:r>
            <w:r w:rsidRPr="00A702FC">
              <w:rPr>
                <w:rFonts w:ascii="Arial" w:hAnsi="Arial" w:cs="Arial"/>
                <w:sz w:val="20"/>
                <w:szCs w:val="20"/>
              </w:rPr>
              <w:t>for which it has been granted approval by the relevant government</w:t>
            </w:r>
            <w:r w:rsidRPr="00A702FC">
              <w:rPr>
                <w:rFonts w:ascii="Arial" w:hAnsi="Arial" w:cs="Arial"/>
                <w:spacing w:val="-27"/>
                <w:sz w:val="20"/>
                <w:szCs w:val="20"/>
              </w:rPr>
              <w:t xml:space="preserve"> </w:t>
            </w:r>
            <w:r w:rsidRPr="00A702FC">
              <w:rPr>
                <w:rFonts w:ascii="Arial" w:hAnsi="Arial" w:cs="Arial"/>
                <w:sz w:val="20"/>
                <w:szCs w:val="20"/>
              </w:rPr>
              <w:t>body.</w:t>
            </w:r>
          </w:p>
          <w:p w14:paraId="378B68A2" w14:textId="77777777" w:rsidR="006A112D" w:rsidRPr="00A702FC" w:rsidRDefault="006A112D" w:rsidP="008558A9">
            <w:pPr>
              <w:pStyle w:val="TableParagraph"/>
              <w:numPr>
                <w:ilvl w:val="0"/>
                <w:numId w:val="4"/>
              </w:numPr>
              <w:tabs>
                <w:tab w:val="left" w:pos="513"/>
                <w:tab w:val="left" w:pos="514"/>
              </w:tabs>
              <w:spacing w:before="2"/>
              <w:ind w:right="158"/>
              <w:rPr>
                <w:rFonts w:ascii="Arial" w:hAnsi="Arial" w:cs="Arial"/>
                <w:sz w:val="20"/>
                <w:szCs w:val="20"/>
              </w:rPr>
            </w:pPr>
            <w:r w:rsidRPr="00A702FC">
              <w:rPr>
                <w:rFonts w:ascii="Arial" w:hAnsi="Arial" w:cs="Arial"/>
                <w:sz w:val="20"/>
                <w:szCs w:val="20"/>
              </w:rPr>
              <w:t>The treatment is rarely used, novel, or unknown and there is a lack of</w:t>
            </w:r>
            <w:r w:rsidRPr="00A702FC">
              <w:rPr>
                <w:rFonts w:ascii="Arial" w:hAnsi="Arial" w:cs="Arial"/>
                <w:spacing w:val="-25"/>
                <w:sz w:val="20"/>
                <w:szCs w:val="20"/>
              </w:rPr>
              <w:t xml:space="preserve"> </w:t>
            </w:r>
            <w:r w:rsidRPr="00A702FC">
              <w:rPr>
                <w:rFonts w:ascii="Arial" w:hAnsi="Arial" w:cs="Arial"/>
                <w:sz w:val="20"/>
                <w:szCs w:val="20"/>
              </w:rPr>
              <w:t>evidence of safety and</w:t>
            </w:r>
            <w:r w:rsidRPr="00A702FC">
              <w:rPr>
                <w:rFonts w:ascii="Arial" w:hAnsi="Arial" w:cs="Arial"/>
                <w:spacing w:val="-12"/>
                <w:sz w:val="20"/>
                <w:szCs w:val="20"/>
              </w:rPr>
              <w:t xml:space="preserve"> </w:t>
            </w:r>
            <w:r w:rsidRPr="00A702FC">
              <w:rPr>
                <w:rFonts w:ascii="Arial" w:hAnsi="Arial" w:cs="Arial"/>
                <w:sz w:val="20"/>
                <w:szCs w:val="20"/>
              </w:rPr>
              <w:t>efficacy.</w:t>
            </w:r>
          </w:p>
          <w:p w14:paraId="6D034754" w14:textId="38CBCA53" w:rsidR="00ED6028" w:rsidRPr="00A702FC" w:rsidRDefault="006A112D" w:rsidP="00812DF9">
            <w:pPr>
              <w:pStyle w:val="BodyText"/>
              <w:numPr>
                <w:ilvl w:val="0"/>
                <w:numId w:val="4"/>
              </w:numPr>
              <w:ind w:right="568"/>
              <w:rPr>
                <w:rFonts w:ascii="Arial" w:hAnsi="Arial" w:cs="Arial"/>
                <w:sz w:val="20"/>
                <w:szCs w:val="20"/>
              </w:rPr>
            </w:pPr>
            <w:r w:rsidRPr="00A702FC">
              <w:rPr>
                <w:rFonts w:ascii="Arial" w:hAnsi="Arial" w:cs="Arial"/>
                <w:sz w:val="20"/>
                <w:szCs w:val="20"/>
              </w:rPr>
              <w:t xml:space="preserve">There is some evidence to support a case for clinical </w:t>
            </w:r>
            <w:proofErr w:type="gramStart"/>
            <w:r w:rsidRPr="00A702FC">
              <w:rPr>
                <w:rFonts w:ascii="Arial" w:hAnsi="Arial" w:cs="Arial"/>
                <w:sz w:val="20"/>
                <w:szCs w:val="20"/>
              </w:rPr>
              <w:t>effectiveness</w:t>
            </w:r>
            <w:proofErr w:type="gramEnd"/>
            <w:r w:rsidRPr="00A702FC">
              <w:rPr>
                <w:rFonts w:ascii="Arial" w:hAnsi="Arial" w:cs="Arial"/>
                <w:sz w:val="20"/>
                <w:szCs w:val="20"/>
              </w:rPr>
              <w:t xml:space="preserve"> but the overall quantity and quality of that evidence is such that </w:t>
            </w:r>
            <w:r w:rsidR="00136C4A">
              <w:rPr>
                <w:rFonts w:ascii="Arial" w:hAnsi="Arial" w:cs="Arial"/>
                <w:sz w:val="20"/>
                <w:szCs w:val="20"/>
              </w:rPr>
              <w:t>Norfolk &amp; Waveney ICB</w:t>
            </w:r>
            <w:r w:rsidRPr="00A702FC">
              <w:rPr>
                <w:rFonts w:ascii="Arial" w:hAnsi="Arial" w:cs="Arial"/>
                <w:sz w:val="20"/>
                <w:szCs w:val="20"/>
              </w:rPr>
              <w:t xml:space="preserve"> does not have confidence in the evidence base and/or there is too great a measure of uncertainty over whether the claims made for a treatment can</w:t>
            </w:r>
            <w:r w:rsidRPr="00A702FC">
              <w:rPr>
                <w:rFonts w:ascii="Arial" w:hAnsi="Arial" w:cs="Arial"/>
                <w:spacing w:val="-26"/>
                <w:sz w:val="20"/>
                <w:szCs w:val="20"/>
              </w:rPr>
              <w:t xml:space="preserve"> </w:t>
            </w:r>
            <w:r w:rsidRPr="00A702FC">
              <w:rPr>
                <w:rFonts w:ascii="Arial" w:hAnsi="Arial" w:cs="Arial"/>
                <w:sz w:val="20"/>
                <w:szCs w:val="20"/>
              </w:rPr>
              <w:t>be justified.</w:t>
            </w:r>
          </w:p>
          <w:p w14:paraId="4AFA366E" w14:textId="3DC5EC33" w:rsidR="00ED6028" w:rsidRPr="00A702FC" w:rsidRDefault="00ED6028" w:rsidP="006A112D">
            <w:pPr>
              <w:pStyle w:val="BodyText"/>
              <w:ind w:right="568"/>
              <w:rPr>
                <w:rFonts w:asciiTheme="minorHAnsi" w:hAnsiTheme="minorHAnsi" w:cstheme="minorHAnsi"/>
                <w:sz w:val="20"/>
                <w:szCs w:val="20"/>
              </w:rPr>
            </w:pPr>
          </w:p>
        </w:tc>
      </w:tr>
      <w:tr w:rsidR="003D2316" w:rsidRPr="00A702FC" w14:paraId="1EB555B2" w14:textId="77777777" w:rsidTr="00812DF9">
        <w:tc>
          <w:tcPr>
            <w:tcW w:w="2398" w:type="dxa"/>
          </w:tcPr>
          <w:p w14:paraId="4D9E9D0B" w14:textId="568728E8" w:rsidR="006A112D" w:rsidRPr="00A702FC" w:rsidRDefault="003E30CF" w:rsidP="003D2316">
            <w:pPr>
              <w:pStyle w:val="BodyText"/>
              <w:ind w:right="568"/>
              <w:rPr>
                <w:rFonts w:ascii="Arial" w:hAnsi="Arial" w:cs="Arial"/>
              </w:rPr>
            </w:pPr>
            <w:r w:rsidRPr="00A702FC">
              <w:rPr>
                <w:rFonts w:ascii="Arial" w:hAnsi="Arial" w:cs="Arial"/>
                <w:b/>
              </w:rPr>
              <w:t>Healthcare intervention</w:t>
            </w:r>
          </w:p>
          <w:p w14:paraId="5542900B" w14:textId="38591C47" w:rsidR="006A112D" w:rsidRPr="00A702FC" w:rsidRDefault="006A112D" w:rsidP="003D2316">
            <w:pPr>
              <w:pStyle w:val="BodyText"/>
              <w:ind w:right="568"/>
              <w:rPr>
                <w:rFonts w:ascii="Arial" w:hAnsi="Arial" w:cs="Arial"/>
              </w:rPr>
            </w:pPr>
          </w:p>
        </w:tc>
        <w:tc>
          <w:tcPr>
            <w:tcW w:w="6618" w:type="dxa"/>
          </w:tcPr>
          <w:p w14:paraId="759CE2CA" w14:textId="4157A855" w:rsidR="003D2316" w:rsidRPr="00A702FC" w:rsidRDefault="003E30CF" w:rsidP="003D2316">
            <w:pPr>
              <w:pStyle w:val="BodyText"/>
              <w:ind w:right="568"/>
              <w:rPr>
                <w:rFonts w:ascii="Arial" w:hAnsi="Arial" w:cs="Arial"/>
                <w:sz w:val="20"/>
                <w:szCs w:val="20"/>
              </w:rPr>
            </w:pPr>
            <w:r w:rsidRPr="00A702FC">
              <w:rPr>
                <w:rFonts w:ascii="Arial" w:hAnsi="Arial" w:cs="Arial"/>
                <w:sz w:val="20"/>
                <w:szCs w:val="20"/>
              </w:rPr>
              <w:t xml:space="preserve">A </w:t>
            </w:r>
            <w:r w:rsidRPr="00A702FC">
              <w:rPr>
                <w:rFonts w:ascii="Arial" w:hAnsi="Arial" w:cs="Arial"/>
                <w:i/>
                <w:sz w:val="20"/>
                <w:szCs w:val="20"/>
              </w:rPr>
              <w:t xml:space="preserve">healthcare intervention </w:t>
            </w:r>
            <w:r w:rsidRPr="00A702FC">
              <w:rPr>
                <w:rFonts w:ascii="Arial" w:hAnsi="Arial" w:cs="Arial"/>
                <w:sz w:val="20"/>
                <w:szCs w:val="20"/>
              </w:rPr>
              <w:t>means any form of healthcare treatment which is applied to meet a healthcare need.</w:t>
            </w:r>
          </w:p>
        </w:tc>
      </w:tr>
      <w:tr w:rsidR="003D2316" w:rsidRPr="00A702FC" w14:paraId="43FA900E" w14:textId="77777777" w:rsidTr="00812DF9">
        <w:tc>
          <w:tcPr>
            <w:tcW w:w="2398" w:type="dxa"/>
          </w:tcPr>
          <w:p w14:paraId="4A49EBFD" w14:textId="2D0FD0C9" w:rsidR="003D2316" w:rsidRPr="00A702FC" w:rsidRDefault="003E30CF" w:rsidP="003D2316">
            <w:pPr>
              <w:pStyle w:val="BodyText"/>
              <w:ind w:right="568"/>
              <w:rPr>
                <w:rFonts w:ascii="Arial" w:hAnsi="Arial" w:cs="Arial"/>
              </w:rPr>
            </w:pPr>
            <w:r w:rsidRPr="00A702FC">
              <w:rPr>
                <w:rFonts w:ascii="Arial" w:hAnsi="Arial" w:cs="Arial"/>
                <w:b/>
              </w:rPr>
              <w:t>NHS commissioned care</w:t>
            </w:r>
          </w:p>
        </w:tc>
        <w:tc>
          <w:tcPr>
            <w:tcW w:w="6618" w:type="dxa"/>
          </w:tcPr>
          <w:p w14:paraId="6B9D31D5" w14:textId="43BC7D08" w:rsidR="003D2316" w:rsidRPr="00A702FC" w:rsidRDefault="003E30CF" w:rsidP="003D2316">
            <w:pPr>
              <w:pStyle w:val="BodyText"/>
              <w:ind w:right="568"/>
              <w:rPr>
                <w:rFonts w:ascii="Arial" w:hAnsi="Arial" w:cs="Arial"/>
                <w:sz w:val="20"/>
                <w:szCs w:val="20"/>
              </w:rPr>
            </w:pPr>
            <w:r w:rsidRPr="00A702FC">
              <w:rPr>
                <w:rFonts w:ascii="Arial" w:hAnsi="Arial" w:cs="Arial"/>
                <w:i/>
                <w:sz w:val="20"/>
                <w:szCs w:val="20"/>
              </w:rPr>
              <w:t xml:space="preserve">NHS commissioned care </w:t>
            </w:r>
            <w:r w:rsidRPr="00A702FC">
              <w:rPr>
                <w:rFonts w:ascii="Arial" w:hAnsi="Arial" w:cs="Arial"/>
                <w:sz w:val="20"/>
                <w:szCs w:val="20"/>
              </w:rPr>
              <w:t xml:space="preserve">is healthcare which is routinely funded by the patient’s responsible commissioner. </w:t>
            </w:r>
            <w:r w:rsidR="00136C4A">
              <w:rPr>
                <w:rFonts w:ascii="Arial" w:hAnsi="Arial" w:cs="Arial"/>
                <w:sz w:val="20"/>
                <w:szCs w:val="20"/>
              </w:rPr>
              <w:t>Norfolk &amp; Waveney ICB</w:t>
            </w:r>
            <w:r w:rsidRPr="00A702FC">
              <w:rPr>
                <w:rFonts w:ascii="Arial" w:hAnsi="Arial" w:cs="Arial"/>
                <w:sz w:val="20"/>
                <w:szCs w:val="20"/>
              </w:rPr>
              <w:t xml:space="preserve"> has policies which define the elements of healthcare it is and is not prepared to commission for defined groups of patients.</w:t>
            </w:r>
          </w:p>
          <w:p w14:paraId="10EF3615" w14:textId="145A69E5" w:rsidR="00ED6028" w:rsidRPr="00A702FC" w:rsidRDefault="00ED6028" w:rsidP="003D2316">
            <w:pPr>
              <w:pStyle w:val="BodyText"/>
              <w:ind w:right="568"/>
              <w:rPr>
                <w:rFonts w:ascii="Arial" w:hAnsi="Arial" w:cs="Arial"/>
              </w:rPr>
            </w:pPr>
          </w:p>
        </w:tc>
      </w:tr>
      <w:tr w:rsidR="003E30CF" w:rsidRPr="00A702FC" w14:paraId="551001C2" w14:textId="77777777" w:rsidTr="00812DF9">
        <w:tc>
          <w:tcPr>
            <w:tcW w:w="2398" w:type="dxa"/>
          </w:tcPr>
          <w:p w14:paraId="06873E4F" w14:textId="6E13AA6A" w:rsidR="003E30CF" w:rsidRPr="00A702FC" w:rsidRDefault="003E30CF" w:rsidP="003D2316">
            <w:pPr>
              <w:pStyle w:val="BodyText"/>
              <w:ind w:right="568"/>
              <w:rPr>
                <w:rFonts w:ascii="Arial" w:hAnsi="Arial" w:cs="Arial"/>
                <w:b/>
                <w:bCs/>
              </w:rPr>
            </w:pPr>
            <w:r w:rsidRPr="00A702FC">
              <w:rPr>
                <w:rFonts w:ascii="Arial" w:hAnsi="Arial" w:cs="Arial"/>
                <w:b/>
                <w:bCs/>
              </w:rPr>
              <w:t>NICE</w:t>
            </w:r>
          </w:p>
        </w:tc>
        <w:tc>
          <w:tcPr>
            <w:tcW w:w="6618" w:type="dxa"/>
          </w:tcPr>
          <w:p w14:paraId="50BA40F2" w14:textId="4E213B68" w:rsidR="003E30CF" w:rsidRPr="00A702FC" w:rsidRDefault="003E30CF" w:rsidP="003D2316">
            <w:pPr>
              <w:pStyle w:val="BodyText"/>
              <w:ind w:right="568"/>
              <w:rPr>
                <w:rFonts w:ascii="Arial" w:hAnsi="Arial" w:cs="Arial"/>
                <w:sz w:val="20"/>
                <w:szCs w:val="20"/>
              </w:rPr>
            </w:pPr>
            <w:r w:rsidRPr="00A702FC">
              <w:rPr>
                <w:rFonts w:ascii="Arial" w:hAnsi="Arial" w:cs="Arial"/>
                <w:sz w:val="20"/>
                <w:szCs w:val="20"/>
              </w:rPr>
              <w:t xml:space="preserve">National </w:t>
            </w:r>
            <w:r w:rsidR="00F95575" w:rsidRPr="00A702FC">
              <w:rPr>
                <w:rFonts w:ascii="Arial" w:hAnsi="Arial" w:cs="Arial"/>
                <w:sz w:val="20"/>
                <w:szCs w:val="20"/>
              </w:rPr>
              <w:t>Institution</w:t>
            </w:r>
            <w:r w:rsidRPr="00A702FC">
              <w:rPr>
                <w:rFonts w:ascii="Arial" w:hAnsi="Arial" w:cs="Arial"/>
                <w:sz w:val="20"/>
                <w:szCs w:val="20"/>
              </w:rPr>
              <w:t xml:space="preserve"> for Health Care and Excellence </w:t>
            </w:r>
          </w:p>
          <w:p w14:paraId="0D6E21B6" w14:textId="2A1708D3" w:rsidR="00ED6028" w:rsidRPr="00A702FC" w:rsidRDefault="00ED6028" w:rsidP="003D2316">
            <w:pPr>
              <w:pStyle w:val="BodyText"/>
              <w:ind w:right="568"/>
              <w:rPr>
                <w:rFonts w:ascii="Arial" w:hAnsi="Arial" w:cs="Arial"/>
              </w:rPr>
            </w:pPr>
          </w:p>
        </w:tc>
      </w:tr>
      <w:tr w:rsidR="003E30CF" w:rsidRPr="00A702FC" w14:paraId="18642F59" w14:textId="77777777" w:rsidTr="00812DF9">
        <w:tc>
          <w:tcPr>
            <w:tcW w:w="2398" w:type="dxa"/>
          </w:tcPr>
          <w:p w14:paraId="19D8D020" w14:textId="1F1A864D" w:rsidR="003E30CF" w:rsidRPr="00A702FC" w:rsidRDefault="003E30CF" w:rsidP="003D2316">
            <w:pPr>
              <w:pStyle w:val="BodyText"/>
              <w:ind w:right="568"/>
              <w:rPr>
                <w:rFonts w:ascii="Arial" w:hAnsi="Arial" w:cs="Arial"/>
              </w:rPr>
            </w:pPr>
            <w:r w:rsidRPr="00A702FC">
              <w:rPr>
                <w:rFonts w:ascii="Arial" w:hAnsi="Arial" w:cs="Arial"/>
                <w:b/>
              </w:rPr>
              <w:t>NICE’s Guidance on Interventional Procedures</w:t>
            </w:r>
          </w:p>
        </w:tc>
        <w:tc>
          <w:tcPr>
            <w:tcW w:w="6618" w:type="dxa"/>
          </w:tcPr>
          <w:p w14:paraId="2DB51E9D" w14:textId="3BA50633" w:rsidR="003E30CF" w:rsidRPr="00A702FC" w:rsidRDefault="003E30CF" w:rsidP="003D2316">
            <w:pPr>
              <w:pStyle w:val="BodyText"/>
              <w:ind w:right="568"/>
              <w:rPr>
                <w:rFonts w:ascii="Arial" w:hAnsi="Arial" w:cs="Arial"/>
                <w:sz w:val="20"/>
                <w:szCs w:val="20"/>
              </w:rPr>
            </w:pPr>
            <w:r w:rsidRPr="00A702FC">
              <w:rPr>
                <w:rFonts w:ascii="Arial" w:hAnsi="Arial" w:cs="Arial"/>
                <w:i/>
                <w:sz w:val="20"/>
                <w:szCs w:val="20"/>
              </w:rPr>
              <w:t xml:space="preserve">NICE’s Guidance on Interventional Procedures </w:t>
            </w:r>
            <w:r w:rsidRPr="00A702FC">
              <w:rPr>
                <w:rFonts w:ascii="Arial" w:hAnsi="Arial" w:cs="Arial"/>
                <w:sz w:val="20"/>
                <w:szCs w:val="20"/>
              </w:rPr>
              <w:t>are a form of NHS Guidance. They aim to provide information about the safety of new interventional procedures. They are not covered by NHS</w:t>
            </w:r>
            <w:r w:rsidRPr="00A702FC">
              <w:rPr>
                <w:rFonts w:ascii="Arial" w:hAnsi="Arial" w:cs="Arial"/>
                <w:spacing w:val="-14"/>
                <w:sz w:val="20"/>
                <w:szCs w:val="20"/>
              </w:rPr>
              <w:t xml:space="preserve"> </w:t>
            </w:r>
            <w:r w:rsidRPr="00A702FC">
              <w:rPr>
                <w:rFonts w:ascii="Arial" w:hAnsi="Arial" w:cs="Arial"/>
                <w:sz w:val="20"/>
                <w:szCs w:val="20"/>
              </w:rPr>
              <w:t>Directions.</w:t>
            </w:r>
          </w:p>
        </w:tc>
      </w:tr>
      <w:tr w:rsidR="003E30CF" w:rsidRPr="00A702FC" w14:paraId="5E4D7FD5" w14:textId="77777777" w:rsidTr="00812DF9">
        <w:tc>
          <w:tcPr>
            <w:tcW w:w="2398" w:type="dxa"/>
          </w:tcPr>
          <w:p w14:paraId="6F9B89A5" w14:textId="2C517B3C" w:rsidR="003E30CF" w:rsidRPr="00A702FC" w:rsidRDefault="003E30CF" w:rsidP="003D2316">
            <w:pPr>
              <w:pStyle w:val="BodyText"/>
              <w:ind w:right="568"/>
              <w:rPr>
                <w:rFonts w:ascii="Arial" w:hAnsi="Arial" w:cs="Arial"/>
              </w:rPr>
            </w:pPr>
            <w:r w:rsidRPr="00A702FC">
              <w:rPr>
                <w:rFonts w:ascii="Arial" w:hAnsi="Arial" w:cs="Arial"/>
                <w:b/>
              </w:rPr>
              <w:t>Priority setting</w:t>
            </w:r>
          </w:p>
          <w:p w14:paraId="09A2C489" w14:textId="27332191" w:rsidR="003E30CF" w:rsidRPr="00A702FC" w:rsidRDefault="003E30CF" w:rsidP="003D2316">
            <w:pPr>
              <w:pStyle w:val="BodyText"/>
              <w:ind w:right="568"/>
              <w:rPr>
                <w:rFonts w:ascii="Arial" w:hAnsi="Arial" w:cs="Arial"/>
              </w:rPr>
            </w:pPr>
          </w:p>
        </w:tc>
        <w:tc>
          <w:tcPr>
            <w:tcW w:w="6618" w:type="dxa"/>
          </w:tcPr>
          <w:p w14:paraId="3D8D994B" w14:textId="77777777" w:rsidR="003E30CF" w:rsidRPr="00A702FC" w:rsidRDefault="003E30CF" w:rsidP="003D2316">
            <w:pPr>
              <w:pStyle w:val="BodyText"/>
              <w:ind w:right="568"/>
              <w:rPr>
                <w:rFonts w:ascii="Arial" w:hAnsi="Arial" w:cs="Arial"/>
                <w:sz w:val="20"/>
                <w:szCs w:val="20"/>
              </w:rPr>
            </w:pPr>
            <w:r w:rsidRPr="00A702FC">
              <w:rPr>
                <w:rFonts w:ascii="Arial" w:hAnsi="Arial" w:cs="Arial"/>
                <w:i/>
                <w:sz w:val="20"/>
                <w:szCs w:val="20"/>
              </w:rPr>
              <w:t xml:space="preserve">Priority setting </w:t>
            </w:r>
            <w:r w:rsidRPr="00A702FC">
              <w:rPr>
                <w:rFonts w:ascii="Arial" w:hAnsi="Arial" w:cs="Arial"/>
                <w:sz w:val="20"/>
                <w:szCs w:val="20"/>
              </w:rPr>
              <w:t>is the task of determining the priority to be assigned to a service, a service development, a policy variation or an individual patient at a given point in time. Prioritisation is needed because the need and demands for healthcare are greater than the resources available.</w:t>
            </w:r>
          </w:p>
          <w:p w14:paraId="445A7BD5" w14:textId="088DA8B3" w:rsidR="00ED6028" w:rsidRPr="00A702FC" w:rsidRDefault="00ED6028" w:rsidP="003D2316">
            <w:pPr>
              <w:pStyle w:val="BodyText"/>
              <w:ind w:right="568"/>
              <w:rPr>
                <w:rFonts w:ascii="Arial" w:hAnsi="Arial" w:cs="Arial"/>
              </w:rPr>
            </w:pPr>
          </w:p>
        </w:tc>
      </w:tr>
      <w:tr w:rsidR="003E30CF" w:rsidRPr="00A702FC" w14:paraId="11AFFABF" w14:textId="77777777" w:rsidTr="00812DF9">
        <w:tc>
          <w:tcPr>
            <w:tcW w:w="2398" w:type="dxa"/>
          </w:tcPr>
          <w:p w14:paraId="61B5EC32" w14:textId="10DE13CA" w:rsidR="003E30CF" w:rsidRPr="00A702FC" w:rsidRDefault="003E30CF" w:rsidP="003D2316">
            <w:pPr>
              <w:pStyle w:val="BodyText"/>
              <w:ind w:right="568"/>
              <w:rPr>
                <w:rFonts w:ascii="Arial" w:hAnsi="Arial" w:cs="Arial"/>
              </w:rPr>
            </w:pPr>
            <w:r w:rsidRPr="00A702FC">
              <w:rPr>
                <w:rFonts w:ascii="Arial" w:hAnsi="Arial" w:cs="Arial"/>
                <w:b/>
              </w:rPr>
              <w:t>Service Development</w:t>
            </w:r>
          </w:p>
        </w:tc>
        <w:tc>
          <w:tcPr>
            <w:tcW w:w="6618" w:type="dxa"/>
          </w:tcPr>
          <w:p w14:paraId="6A7E2EBF" w14:textId="318925D2" w:rsidR="003E30CF" w:rsidRPr="00A702FC" w:rsidRDefault="003E30CF" w:rsidP="00A56716">
            <w:pPr>
              <w:pStyle w:val="TableParagraph"/>
              <w:ind w:left="0" w:right="143"/>
              <w:rPr>
                <w:rFonts w:ascii="Arial" w:hAnsi="Arial" w:cs="Arial"/>
                <w:sz w:val="20"/>
                <w:szCs w:val="20"/>
              </w:rPr>
            </w:pPr>
            <w:r w:rsidRPr="00A702FC">
              <w:rPr>
                <w:rFonts w:ascii="Arial" w:hAnsi="Arial" w:cs="Arial"/>
                <w:sz w:val="20"/>
                <w:szCs w:val="20"/>
              </w:rPr>
              <w:t xml:space="preserve">A </w:t>
            </w:r>
            <w:r w:rsidRPr="00A702FC">
              <w:rPr>
                <w:rFonts w:ascii="Arial" w:hAnsi="Arial" w:cs="Arial"/>
                <w:i/>
                <w:sz w:val="20"/>
                <w:szCs w:val="20"/>
              </w:rPr>
              <w:t xml:space="preserve">Service Development </w:t>
            </w:r>
            <w:r w:rsidRPr="00A702FC">
              <w:rPr>
                <w:rFonts w:ascii="Arial" w:hAnsi="Arial" w:cs="Arial"/>
                <w:sz w:val="20"/>
                <w:szCs w:val="20"/>
              </w:rPr>
              <w:t>is a proposal to</w:t>
            </w:r>
            <w:r w:rsidR="00136C4A">
              <w:rPr>
                <w:rFonts w:ascii="Arial" w:hAnsi="Arial" w:cs="Arial"/>
                <w:sz w:val="20"/>
                <w:szCs w:val="20"/>
              </w:rPr>
              <w:t xml:space="preserve"> Norfolk &amp; Waveney ICB</w:t>
            </w:r>
            <w:r w:rsidRPr="00A702FC">
              <w:rPr>
                <w:rFonts w:ascii="Arial" w:hAnsi="Arial" w:cs="Arial"/>
                <w:sz w:val="20"/>
                <w:szCs w:val="20"/>
              </w:rPr>
              <w:t xml:space="preserve"> to provide a particular healthcare intervention to be routinely funded by the </w:t>
            </w:r>
            <w:r w:rsidR="00136C4A">
              <w:rPr>
                <w:rFonts w:ascii="Arial" w:hAnsi="Arial" w:cs="Arial"/>
                <w:sz w:val="20"/>
                <w:szCs w:val="20"/>
              </w:rPr>
              <w:t>ICB</w:t>
            </w:r>
            <w:r w:rsidRPr="00A702FC">
              <w:rPr>
                <w:rFonts w:ascii="Arial" w:hAnsi="Arial" w:cs="Arial"/>
                <w:sz w:val="20"/>
                <w:szCs w:val="20"/>
              </w:rPr>
              <w:t xml:space="preserve"> for a defined group of patients.</w:t>
            </w:r>
          </w:p>
          <w:p w14:paraId="600CDD6B" w14:textId="77777777" w:rsidR="00A56716" w:rsidRPr="00A702FC" w:rsidRDefault="00A56716" w:rsidP="00A53F3C">
            <w:pPr>
              <w:jc w:val="both"/>
              <w:rPr>
                <w:rFonts w:ascii="Arial" w:hAnsi="Arial" w:cs="Arial"/>
                <w:sz w:val="20"/>
                <w:szCs w:val="20"/>
              </w:rPr>
            </w:pPr>
          </w:p>
          <w:p w14:paraId="5723FD30" w14:textId="03C83EDA" w:rsidR="00A53F3C" w:rsidRPr="00A702FC" w:rsidRDefault="00A53F3C" w:rsidP="00A53F3C">
            <w:pPr>
              <w:jc w:val="both"/>
              <w:rPr>
                <w:rFonts w:ascii="Arial" w:hAnsi="Arial" w:cs="Arial"/>
                <w:sz w:val="20"/>
                <w:szCs w:val="20"/>
              </w:rPr>
            </w:pPr>
            <w:r w:rsidRPr="00A702FC">
              <w:rPr>
                <w:rFonts w:ascii="Arial" w:hAnsi="Arial" w:cs="Arial"/>
                <w:sz w:val="20"/>
                <w:szCs w:val="20"/>
              </w:rPr>
              <w:lastRenderedPageBreak/>
              <w:t>A service development is any aspect of healthcare which the N</w:t>
            </w:r>
            <w:r w:rsidR="00136C4A">
              <w:rPr>
                <w:rFonts w:ascii="Arial" w:hAnsi="Arial" w:cs="Arial"/>
                <w:sz w:val="20"/>
                <w:szCs w:val="20"/>
              </w:rPr>
              <w:t xml:space="preserve">orfolk &amp; Waveney ICB </w:t>
            </w:r>
            <w:r w:rsidRPr="00A702FC">
              <w:rPr>
                <w:rFonts w:ascii="Arial" w:hAnsi="Arial" w:cs="Arial"/>
                <w:sz w:val="20"/>
                <w:szCs w:val="20"/>
              </w:rPr>
              <w:t xml:space="preserve">has not historically agreed to fund, and which will require additional and predictable recurrent funding. </w:t>
            </w:r>
          </w:p>
          <w:p w14:paraId="05D4330D" w14:textId="64B80190" w:rsidR="003E30CF" w:rsidRPr="00A702FC" w:rsidRDefault="003E30CF" w:rsidP="003E30CF">
            <w:pPr>
              <w:pStyle w:val="TableParagraph"/>
              <w:spacing w:before="8"/>
              <w:ind w:left="0"/>
              <w:rPr>
                <w:rFonts w:ascii="Arial" w:hAnsi="Arial" w:cs="Arial"/>
                <w:b/>
                <w:sz w:val="20"/>
                <w:szCs w:val="20"/>
              </w:rPr>
            </w:pPr>
          </w:p>
          <w:p w14:paraId="42E96ADF" w14:textId="77777777" w:rsidR="00F95575" w:rsidRPr="00A702FC" w:rsidRDefault="003E30CF" w:rsidP="003E30CF">
            <w:pPr>
              <w:pStyle w:val="BodyText"/>
              <w:ind w:right="568"/>
              <w:rPr>
                <w:rFonts w:ascii="Arial" w:hAnsi="Arial" w:cs="Arial"/>
                <w:sz w:val="20"/>
                <w:szCs w:val="20"/>
              </w:rPr>
            </w:pPr>
            <w:r w:rsidRPr="00A702FC">
              <w:rPr>
                <w:rFonts w:ascii="Arial" w:hAnsi="Arial" w:cs="Arial"/>
                <w:sz w:val="20"/>
                <w:szCs w:val="20"/>
              </w:rPr>
              <w:t>It also encompasses other types of investment that existing services might need, such as pump-priming to establish new models of care, training to meet anticipated manpower</w:t>
            </w:r>
            <w:r w:rsidRPr="00A702FC">
              <w:rPr>
                <w:rFonts w:ascii="Arial" w:hAnsi="Arial" w:cs="Arial"/>
              </w:rPr>
              <w:t xml:space="preserve"> </w:t>
            </w:r>
            <w:r w:rsidRPr="00A702FC">
              <w:rPr>
                <w:rFonts w:ascii="Arial" w:hAnsi="Arial" w:cs="Arial"/>
                <w:sz w:val="20"/>
                <w:szCs w:val="20"/>
              </w:rPr>
              <w:t xml:space="preserve">shortages and implementing legal reforms. Equitable priority setting dictates that potential service developments should be assessed and prioritised against each other within the annual commissioning round. </w:t>
            </w:r>
          </w:p>
          <w:p w14:paraId="683DE3D3" w14:textId="000B0C74" w:rsidR="003E30CF" w:rsidRPr="00A702FC" w:rsidRDefault="003E30CF" w:rsidP="003E30CF">
            <w:pPr>
              <w:pStyle w:val="BodyText"/>
              <w:ind w:right="568"/>
              <w:rPr>
                <w:rFonts w:ascii="Arial" w:hAnsi="Arial" w:cs="Arial"/>
                <w:sz w:val="20"/>
                <w:szCs w:val="20"/>
              </w:rPr>
            </w:pPr>
            <w:r w:rsidRPr="00A702FC">
              <w:rPr>
                <w:rFonts w:ascii="Arial" w:hAnsi="Arial" w:cs="Arial"/>
                <w:sz w:val="20"/>
                <w:szCs w:val="20"/>
              </w:rPr>
              <w:t xml:space="preserve">However, where investment is made outside of the annual commissioning round, such investment is referred to as an </w:t>
            </w:r>
            <w:r w:rsidRPr="00A702FC">
              <w:rPr>
                <w:rFonts w:ascii="Arial" w:hAnsi="Arial" w:cs="Arial"/>
                <w:i/>
                <w:sz w:val="20"/>
                <w:szCs w:val="20"/>
              </w:rPr>
              <w:t>in-year service development</w:t>
            </w:r>
            <w:r w:rsidRPr="00A702FC">
              <w:rPr>
                <w:rFonts w:ascii="Arial" w:hAnsi="Arial" w:cs="Arial"/>
                <w:sz w:val="20"/>
                <w:szCs w:val="20"/>
              </w:rPr>
              <w:t>.</w:t>
            </w:r>
          </w:p>
          <w:p w14:paraId="7A8A8357" w14:textId="77777777" w:rsidR="003E30CF" w:rsidRPr="00A702FC" w:rsidRDefault="003E30CF" w:rsidP="003E30CF">
            <w:pPr>
              <w:pStyle w:val="BodyText"/>
              <w:ind w:right="568"/>
              <w:rPr>
                <w:rFonts w:ascii="Arial" w:hAnsi="Arial" w:cs="Arial"/>
              </w:rPr>
            </w:pPr>
          </w:p>
          <w:p w14:paraId="0F909BF3" w14:textId="2B35424A" w:rsidR="00A56716" w:rsidRPr="00A702FC" w:rsidRDefault="003E30CF" w:rsidP="003E30CF">
            <w:pPr>
              <w:pStyle w:val="BodyText"/>
              <w:ind w:right="568"/>
              <w:rPr>
                <w:rFonts w:ascii="Arial" w:hAnsi="Arial" w:cs="Arial"/>
              </w:rPr>
            </w:pPr>
            <w:r w:rsidRPr="00A702FC">
              <w:rPr>
                <w:rFonts w:ascii="Arial" w:hAnsi="Arial" w:cs="Arial"/>
                <w:sz w:val="20"/>
                <w:szCs w:val="20"/>
              </w:rPr>
              <w:t xml:space="preserve">An </w:t>
            </w:r>
            <w:r w:rsidRPr="00A702FC">
              <w:rPr>
                <w:rFonts w:ascii="Arial" w:hAnsi="Arial" w:cs="Arial"/>
                <w:i/>
                <w:sz w:val="20"/>
                <w:szCs w:val="20"/>
              </w:rPr>
              <w:t xml:space="preserve">in-year service development </w:t>
            </w:r>
            <w:r w:rsidRPr="00A702FC">
              <w:rPr>
                <w:rFonts w:ascii="Arial" w:hAnsi="Arial" w:cs="Arial"/>
                <w:sz w:val="20"/>
                <w:szCs w:val="20"/>
              </w:rPr>
              <w:t xml:space="preserve">is any aspect of healthcare, other than one which is the subject of a successful individual funding request, which </w:t>
            </w:r>
            <w:r w:rsidR="00136C4A">
              <w:rPr>
                <w:rFonts w:ascii="Arial" w:hAnsi="Arial" w:cs="Arial"/>
                <w:sz w:val="20"/>
                <w:szCs w:val="20"/>
              </w:rPr>
              <w:t>Norfolk &amp; Waveney ICB</w:t>
            </w:r>
            <w:r w:rsidRPr="00A702FC">
              <w:rPr>
                <w:rFonts w:ascii="Arial" w:hAnsi="Arial" w:cs="Arial"/>
                <w:sz w:val="20"/>
                <w:szCs w:val="20"/>
              </w:rPr>
              <w:t xml:space="preserve"> agrees to fund outside of the annual commissioning round. Unplanned investment decisions should only be made in exceptional circumstances because, unless they can be funded through disinvestment, they will have to be funded as a result of either delaying or aborting other planned developments</w:t>
            </w:r>
          </w:p>
          <w:p w14:paraId="1B3314C1" w14:textId="7C3EA9E9" w:rsidR="00ED6028" w:rsidRPr="00A702FC" w:rsidRDefault="00ED6028" w:rsidP="003E30CF">
            <w:pPr>
              <w:pStyle w:val="BodyText"/>
              <w:ind w:right="568"/>
              <w:rPr>
                <w:rFonts w:ascii="Arial" w:hAnsi="Arial" w:cs="Arial"/>
              </w:rPr>
            </w:pPr>
          </w:p>
        </w:tc>
      </w:tr>
      <w:tr w:rsidR="003E30CF" w:rsidRPr="00A702FC" w14:paraId="406F38D3" w14:textId="77777777" w:rsidTr="00812DF9">
        <w:tc>
          <w:tcPr>
            <w:tcW w:w="2398" w:type="dxa"/>
          </w:tcPr>
          <w:p w14:paraId="3E692CAF" w14:textId="74919DB0" w:rsidR="003E30CF" w:rsidRPr="00A702FC" w:rsidRDefault="003E30CF" w:rsidP="003D2316">
            <w:pPr>
              <w:pStyle w:val="BodyText"/>
              <w:ind w:right="568"/>
              <w:rPr>
                <w:rFonts w:ascii="Arial" w:hAnsi="Arial" w:cs="Arial"/>
              </w:rPr>
            </w:pPr>
            <w:r w:rsidRPr="00A702FC">
              <w:rPr>
                <w:rFonts w:ascii="Arial" w:hAnsi="Arial" w:cs="Arial"/>
                <w:b/>
              </w:rPr>
              <w:lastRenderedPageBreak/>
              <w:t>Statutory Guidance</w:t>
            </w:r>
          </w:p>
        </w:tc>
        <w:tc>
          <w:tcPr>
            <w:tcW w:w="6618" w:type="dxa"/>
          </w:tcPr>
          <w:p w14:paraId="3F1F31C4" w14:textId="7A6EA249" w:rsidR="003E30CF" w:rsidRPr="00A702FC" w:rsidRDefault="003E30CF" w:rsidP="00463502">
            <w:pPr>
              <w:pStyle w:val="TableParagraph"/>
              <w:ind w:right="105"/>
              <w:jc w:val="both"/>
              <w:rPr>
                <w:rFonts w:ascii="Arial" w:hAnsi="Arial" w:cs="Arial"/>
                <w:b/>
                <w:sz w:val="20"/>
                <w:szCs w:val="20"/>
              </w:rPr>
            </w:pPr>
            <w:r w:rsidRPr="00A702FC">
              <w:rPr>
                <w:rFonts w:ascii="Arial" w:hAnsi="Arial" w:cs="Arial"/>
                <w:i/>
                <w:sz w:val="20"/>
                <w:szCs w:val="20"/>
              </w:rPr>
              <w:t xml:space="preserve">Statutory Guidance </w:t>
            </w:r>
            <w:r w:rsidRPr="00A702FC">
              <w:rPr>
                <w:rFonts w:ascii="Arial" w:hAnsi="Arial" w:cs="Arial"/>
                <w:sz w:val="20"/>
                <w:szCs w:val="20"/>
              </w:rPr>
              <w:t xml:space="preserve">is written Guidance which is issued by the Secretary of State or a body authorised by the Secretary of State (or by another part of government which is directly relevant for the relevant </w:t>
            </w:r>
            <w:r w:rsidR="009F51E9" w:rsidRPr="00A702FC">
              <w:rPr>
                <w:rFonts w:ascii="Arial" w:hAnsi="Arial" w:cs="Arial"/>
                <w:sz w:val="20"/>
                <w:szCs w:val="20"/>
              </w:rPr>
              <w:t>decision-making</w:t>
            </w:r>
            <w:r w:rsidRPr="00A702FC">
              <w:rPr>
                <w:rFonts w:ascii="Arial" w:hAnsi="Arial" w:cs="Arial"/>
                <w:sz w:val="20"/>
                <w:szCs w:val="20"/>
              </w:rPr>
              <w:t xml:space="preserve"> process). NHS bodies are required to have regard to statutory guidance in their decision making. Statutory Guidance is intended to assist public authorities in the exercise of their statutory duties. It suggests steps which might be taken; factors which could be taken into account and procedures which could be followed to deliver specified steps of administration, or policy delivery. NHS bodies are entitled to depart from statutory guidance if they have a good reason to do so. However:</w:t>
            </w:r>
          </w:p>
          <w:p w14:paraId="606C495C" w14:textId="4C12E767" w:rsidR="003E30CF" w:rsidRPr="00A702FC" w:rsidRDefault="003E30CF" w:rsidP="003E30CF">
            <w:pPr>
              <w:pStyle w:val="TableParagraph"/>
              <w:numPr>
                <w:ilvl w:val="0"/>
                <w:numId w:val="5"/>
              </w:numPr>
              <w:tabs>
                <w:tab w:val="left" w:pos="823"/>
                <w:tab w:val="left" w:pos="824"/>
              </w:tabs>
              <w:spacing w:before="1"/>
              <w:ind w:left="0" w:right="440"/>
              <w:rPr>
                <w:rFonts w:ascii="Arial" w:hAnsi="Arial" w:cs="Arial"/>
                <w:b/>
                <w:bCs/>
                <w:sz w:val="20"/>
                <w:szCs w:val="20"/>
              </w:rPr>
            </w:pPr>
            <w:r w:rsidRPr="00A702FC">
              <w:rPr>
                <w:rFonts w:ascii="Arial" w:hAnsi="Arial" w:cs="Arial"/>
                <w:b/>
                <w:bCs/>
                <w:sz w:val="20"/>
                <w:szCs w:val="20"/>
              </w:rPr>
              <w:t>The NHS body should always record that it has considered the</w:t>
            </w:r>
            <w:r w:rsidRPr="00A702FC">
              <w:rPr>
                <w:rFonts w:ascii="Arial" w:hAnsi="Arial" w:cs="Arial"/>
                <w:b/>
                <w:bCs/>
                <w:spacing w:val="-29"/>
                <w:sz w:val="20"/>
                <w:szCs w:val="20"/>
              </w:rPr>
              <w:t xml:space="preserve"> </w:t>
            </w:r>
            <w:r w:rsidRPr="00A702FC">
              <w:rPr>
                <w:rFonts w:ascii="Arial" w:hAnsi="Arial" w:cs="Arial"/>
                <w:b/>
                <w:bCs/>
                <w:sz w:val="20"/>
                <w:szCs w:val="20"/>
              </w:rPr>
              <w:t>statutory guidance as part of its decision making processes,</w:t>
            </w:r>
            <w:r w:rsidRPr="00A702FC">
              <w:rPr>
                <w:rFonts w:ascii="Arial" w:hAnsi="Arial" w:cs="Arial"/>
                <w:b/>
                <w:bCs/>
                <w:spacing w:val="-16"/>
                <w:sz w:val="20"/>
                <w:szCs w:val="20"/>
              </w:rPr>
              <w:t xml:space="preserve"> </w:t>
            </w:r>
            <w:r w:rsidRPr="00A702FC">
              <w:rPr>
                <w:rFonts w:ascii="Arial" w:hAnsi="Arial" w:cs="Arial"/>
                <w:b/>
                <w:bCs/>
                <w:sz w:val="20"/>
                <w:szCs w:val="20"/>
              </w:rPr>
              <w:t>and</w:t>
            </w:r>
          </w:p>
          <w:p w14:paraId="38579205" w14:textId="77777777" w:rsidR="003E30CF" w:rsidRPr="00A702FC" w:rsidRDefault="003E30CF" w:rsidP="003E30CF">
            <w:pPr>
              <w:pStyle w:val="BodyText"/>
              <w:ind w:right="568"/>
              <w:rPr>
                <w:rFonts w:ascii="Arial" w:hAnsi="Arial" w:cs="Arial"/>
                <w:sz w:val="20"/>
                <w:szCs w:val="20"/>
              </w:rPr>
            </w:pPr>
            <w:r w:rsidRPr="00A702FC">
              <w:rPr>
                <w:rFonts w:ascii="Arial" w:hAnsi="Arial" w:cs="Arial"/>
                <w:sz w:val="20"/>
                <w:szCs w:val="20"/>
              </w:rPr>
              <w:t>The NHS body should always record the reason or reasons why it</w:t>
            </w:r>
            <w:r w:rsidRPr="00A702FC">
              <w:rPr>
                <w:rFonts w:ascii="Arial" w:hAnsi="Arial" w:cs="Arial"/>
                <w:spacing w:val="-27"/>
                <w:sz w:val="20"/>
                <w:szCs w:val="20"/>
              </w:rPr>
              <w:t xml:space="preserve"> </w:t>
            </w:r>
            <w:r w:rsidRPr="00A702FC">
              <w:rPr>
                <w:rFonts w:ascii="Arial" w:hAnsi="Arial" w:cs="Arial"/>
                <w:sz w:val="20"/>
                <w:szCs w:val="20"/>
              </w:rPr>
              <w:t>has departed from the course of action recommended in the</w:t>
            </w:r>
            <w:r w:rsidRPr="00A702FC">
              <w:rPr>
                <w:rFonts w:ascii="Arial" w:hAnsi="Arial" w:cs="Arial"/>
                <w:spacing w:val="-27"/>
                <w:sz w:val="20"/>
                <w:szCs w:val="20"/>
              </w:rPr>
              <w:t xml:space="preserve"> </w:t>
            </w:r>
            <w:r w:rsidRPr="00A702FC">
              <w:rPr>
                <w:rFonts w:ascii="Arial" w:hAnsi="Arial" w:cs="Arial"/>
                <w:sz w:val="20"/>
                <w:szCs w:val="20"/>
              </w:rPr>
              <w:t>Guidance.</w:t>
            </w:r>
          </w:p>
          <w:p w14:paraId="63E417BA" w14:textId="7C85E964" w:rsidR="00ED6028" w:rsidRPr="00A702FC" w:rsidRDefault="00ED6028" w:rsidP="003E30CF">
            <w:pPr>
              <w:pStyle w:val="BodyText"/>
              <w:ind w:right="568"/>
              <w:rPr>
                <w:rFonts w:ascii="Arial" w:hAnsi="Arial" w:cs="Arial"/>
              </w:rPr>
            </w:pPr>
          </w:p>
        </w:tc>
      </w:tr>
      <w:tr w:rsidR="003E30CF" w:rsidRPr="00A702FC" w14:paraId="42284955" w14:textId="77777777" w:rsidTr="00812DF9">
        <w:tc>
          <w:tcPr>
            <w:tcW w:w="2398" w:type="dxa"/>
          </w:tcPr>
          <w:p w14:paraId="0E076FFA" w14:textId="3C4183A2" w:rsidR="003E30CF" w:rsidRPr="00A702FC" w:rsidRDefault="00BF701A" w:rsidP="003D2316">
            <w:pPr>
              <w:pStyle w:val="BodyText"/>
              <w:ind w:right="568"/>
              <w:rPr>
                <w:rFonts w:ascii="Arial" w:hAnsi="Arial" w:cs="Arial"/>
                <w:b/>
                <w:bCs/>
              </w:rPr>
            </w:pPr>
            <w:r w:rsidRPr="00A702FC">
              <w:rPr>
                <w:rFonts w:ascii="Arial" w:hAnsi="Arial" w:cs="Arial"/>
                <w:b/>
                <w:bCs/>
              </w:rPr>
              <w:t>Treatment</w:t>
            </w:r>
          </w:p>
        </w:tc>
        <w:tc>
          <w:tcPr>
            <w:tcW w:w="6618" w:type="dxa"/>
          </w:tcPr>
          <w:p w14:paraId="1DD9FC08" w14:textId="3177D074" w:rsidR="00BF701A" w:rsidRPr="00A702FC" w:rsidRDefault="00BF701A" w:rsidP="003D2316">
            <w:pPr>
              <w:pStyle w:val="BodyText"/>
              <w:ind w:right="568"/>
              <w:rPr>
                <w:rFonts w:ascii="Arial" w:hAnsi="Arial" w:cs="Arial"/>
              </w:rPr>
            </w:pPr>
            <w:r w:rsidRPr="00A702FC">
              <w:rPr>
                <w:rFonts w:ascii="Arial" w:hAnsi="Arial" w:cs="Arial"/>
                <w:i/>
                <w:sz w:val="20"/>
                <w:szCs w:val="20"/>
              </w:rPr>
              <w:t xml:space="preserve">Treatment </w:t>
            </w:r>
            <w:r w:rsidRPr="00A702FC">
              <w:rPr>
                <w:rFonts w:ascii="Arial" w:hAnsi="Arial" w:cs="Arial"/>
                <w:sz w:val="20"/>
                <w:szCs w:val="20"/>
              </w:rPr>
              <w:t>means any form of healthcare intervention which has been proposed by a clinician and is proposed to be administered as part of NHS commissioned and funded healthcare</w:t>
            </w:r>
          </w:p>
          <w:p w14:paraId="4E5F896F" w14:textId="745C8EAA" w:rsidR="00BF701A" w:rsidRPr="00A702FC" w:rsidRDefault="00BF701A" w:rsidP="003D2316">
            <w:pPr>
              <w:pStyle w:val="BodyText"/>
              <w:ind w:right="568"/>
              <w:rPr>
                <w:rFonts w:ascii="Arial" w:hAnsi="Arial" w:cs="Arial"/>
              </w:rPr>
            </w:pPr>
          </w:p>
        </w:tc>
      </w:tr>
      <w:tr w:rsidR="003E30CF" w:rsidRPr="00A702FC" w14:paraId="34098A3F" w14:textId="77777777" w:rsidTr="00812DF9">
        <w:tc>
          <w:tcPr>
            <w:tcW w:w="2398" w:type="dxa"/>
          </w:tcPr>
          <w:p w14:paraId="06C5A12E" w14:textId="6841560B" w:rsidR="003E30CF" w:rsidRPr="00A702FC" w:rsidRDefault="00BF701A" w:rsidP="003D2316">
            <w:pPr>
              <w:pStyle w:val="BodyText"/>
              <w:ind w:right="568"/>
              <w:rPr>
                <w:rFonts w:ascii="Arial" w:hAnsi="Arial" w:cs="Arial"/>
                <w:b/>
                <w:bCs/>
              </w:rPr>
            </w:pPr>
            <w:r w:rsidRPr="00A702FC">
              <w:rPr>
                <w:rFonts w:ascii="Arial" w:hAnsi="Arial" w:cs="Arial"/>
                <w:b/>
                <w:bCs/>
              </w:rPr>
              <w:t>Treatment – Costs</w:t>
            </w:r>
          </w:p>
        </w:tc>
        <w:tc>
          <w:tcPr>
            <w:tcW w:w="6618" w:type="dxa"/>
          </w:tcPr>
          <w:p w14:paraId="2579FF14" w14:textId="77777777" w:rsidR="003E30CF" w:rsidRPr="00A702FC" w:rsidRDefault="00BF701A" w:rsidP="003D2316">
            <w:pPr>
              <w:pStyle w:val="BodyText"/>
              <w:ind w:right="568"/>
              <w:rPr>
                <w:rFonts w:ascii="Arial" w:hAnsi="Arial" w:cs="Arial"/>
                <w:sz w:val="20"/>
                <w:szCs w:val="20"/>
              </w:rPr>
            </w:pPr>
            <w:r w:rsidRPr="00A702FC">
              <w:rPr>
                <w:rFonts w:ascii="Arial" w:hAnsi="Arial" w:cs="Arial"/>
                <w:i/>
                <w:sz w:val="20"/>
                <w:szCs w:val="20"/>
              </w:rPr>
              <w:t>Treatment costs</w:t>
            </w:r>
            <w:r w:rsidRPr="00A702FC">
              <w:rPr>
                <w:rFonts w:ascii="Arial" w:hAnsi="Arial" w:cs="Arial"/>
                <w:sz w:val="20"/>
                <w:szCs w:val="20"/>
              </w:rPr>
              <w:t>, in the context of clinical trials, are the patient care costs which would continue to be incurred by the NHS if the service in question continued to be provided after the clinical trial had ceased.</w:t>
            </w:r>
          </w:p>
          <w:p w14:paraId="66C5242C" w14:textId="14F210C4" w:rsidR="0099521D" w:rsidRPr="00A702FC" w:rsidRDefault="0099521D" w:rsidP="003D2316">
            <w:pPr>
              <w:pStyle w:val="BodyText"/>
              <w:ind w:right="568"/>
              <w:rPr>
                <w:rFonts w:ascii="Arial" w:hAnsi="Arial" w:cs="Arial"/>
                <w:sz w:val="20"/>
                <w:szCs w:val="20"/>
              </w:rPr>
            </w:pPr>
          </w:p>
        </w:tc>
      </w:tr>
      <w:tr w:rsidR="00BF701A" w:rsidRPr="00A702FC" w14:paraId="52DC8BCE" w14:textId="77777777" w:rsidTr="00812DF9">
        <w:tc>
          <w:tcPr>
            <w:tcW w:w="2398" w:type="dxa"/>
          </w:tcPr>
          <w:p w14:paraId="41048CA1" w14:textId="5C2611D6" w:rsidR="00BF701A" w:rsidRPr="00A702FC" w:rsidRDefault="00BF701A" w:rsidP="003D2316">
            <w:pPr>
              <w:pStyle w:val="BodyText"/>
              <w:ind w:right="568"/>
              <w:rPr>
                <w:rFonts w:ascii="Arial" w:hAnsi="Arial" w:cs="Arial"/>
                <w:b/>
                <w:bCs/>
              </w:rPr>
            </w:pPr>
            <w:r w:rsidRPr="00A702FC">
              <w:rPr>
                <w:rFonts w:ascii="Arial" w:hAnsi="Arial" w:cs="Arial"/>
                <w:b/>
                <w:bCs/>
              </w:rPr>
              <w:t xml:space="preserve">Treatment Costs </w:t>
            </w:r>
            <w:r w:rsidR="00686BEA" w:rsidRPr="00A702FC">
              <w:rPr>
                <w:rFonts w:ascii="Arial" w:hAnsi="Arial" w:cs="Arial"/>
                <w:b/>
                <w:bCs/>
              </w:rPr>
              <w:t>–</w:t>
            </w:r>
            <w:r w:rsidRPr="00A702FC">
              <w:rPr>
                <w:rFonts w:ascii="Arial" w:hAnsi="Arial" w:cs="Arial"/>
                <w:b/>
                <w:bCs/>
              </w:rPr>
              <w:t xml:space="preserve"> Excess</w:t>
            </w:r>
          </w:p>
        </w:tc>
        <w:tc>
          <w:tcPr>
            <w:tcW w:w="6618" w:type="dxa"/>
          </w:tcPr>
          <w:p w14:paraId="466C294A" w14:textId="77777777" w:rsidR="00BF701A" w:rsidRPr="00A702FC" w:rsidRDefault="00BF701A" w:rsidP="003D2316">
            <w:pPr>
              <w:pStyle w:val="BodyText"/>
              <w:ind w:right="568"/>
              <w:rPr>
                <w:rFonts w:ascii="Arial" w:hAnsi="Arial" w:cs="Arial"/>
                <w:i/>
                <w:sz w:val="20"/>
                <w:szCs w:val="20"/>
              </w:rPr>
            </w:pPr>
            <w:r w:rsidRPr="00A702FC">
              <w:rPr>
                <w:rFonts w:ascii="Arial" w:hAnsi="Arial" w:cs="Arial"/>
                <w:i/>
                <w:sz w:val="20"/>
                <w:szCs w:val="20"/>
              </w:rPr>
              <w:t xml:space="preserve">Excess treatment costs </w:t>
            </w:r>
            <w:r w:rsidRPr="00A702FC">
              <w:rPr>
                <w:rFonts w:ascii="Arial" w:hAnsi="Arial" w:cs="Arial"/>
                <w:sz w:val="20"/>
                <w:szCs w:val="20"/>
              </w:rPr>
              <w:t xml:space="preserve">are incurred where patient care is provided which differs from the standard treatment, in that it is either an experimental treatment or a service in a different location from where it would normally be delivered. The difference between the total Treatment Costs and the cost of the standard </w:t>
            </w:r>
            <w:r w:rsidRPr="00A702FC">
              <w:rPr>
                <w:rFonts w:ascii="Arial" w:hAnsi="Arial" w:cs="Arial"/>
                <w:sz w:val="20"/>
                <w:szCs w:val="20"/>
              </w:rPr>
              <w:lastRenderedPageBreak/>
              <w:t xml:space="preserve">treatment (if any) constitutes the </w:t>
            </w:r>
            <w:r w:rsidRPr="00A702FC">
              <w:rPr>
                <w:rFonts w:ascii="Arial" w:hAnsi="Arial" w:cs="Arial"/>
                <w:i/>
                <w:sz w:val="20"/>
                <w:szCs w:val="20"/>
              </w:rPr>
              <w:t>excess treatment costs</w:t>
            </w:r>
          </w:p>
          <w:p w14:paraId="6693E59C" w14:textId="1289AADA" w:rsidR="00ED6028" w:rsidRPr="00A702FC" w:rsidRDefault="00ED6028" w:rsidP="003D2316">
            <w:pPr>
              <w:pStyle w:val="BodyText"/>
              <w:ind w:right="568"/>
              <w:rPr>
                <w:rFonts w:ascii="Arial" w:hAnsi="Arial" w:cs="Arial"/>
              </w:rPr>
            </w:pPr>
          </w:p>
        </w:tc>
      </w:tr>
      <w:tr w:rsidR="00BF701A" w:rsidRPr="00A702FC" w14:paraId="53DE9948" w14:textId="77777777" w:rsidTr="00812DF9">
        <w:tc>
          <w:tcPr>
            <w:tcW w:w="2398" w:type="dxa"/>
          </w:tcPr>
          <w:p w14:paraId="094DE552" w14:textId="68CCCB4E" w:rsidR="00BF701A" w:rsidRPr="00A702FC" w:rsidRDefault="00BF701A" w:rsidP="003D2316">
            <w:pPr>
              <w:pStyle w:val="BodyText"/>
              <w:ind w:right="568"/>
              <w:rPr>
                <w:rFonts w:ascii="Arial" w:hAnsi="Arial" w:cs="Arial"/>
                <w:b/>
                <w:bCs/>
              </w:rPr>
            </w:pPr>
            <w:r w:rsidRPr="00A702FC">
              <w:rPr>
                <w:rFonts w:ascii="Arial" w:hAnsi="Arial" w:cs="Arial"/>
                <w:b/>
                <w:bCs/>
              </w:rPr>
              <w:lastRenderedPageBreak/>
              <w:t>Trial of Treatment</w:t>
            </w:r>
          </w:p>
        </w:tc>
        <w:tc>
          <w:tcPr>
            <w:tcW w:w="6618" w:type="dxa"/>
          </w:tcPr>
          <w:p w14:paraId="0BE8A964" w14:textId="77777777" w:rsidR="00BF701A" w:rsidRPr="00A702FC" w:rsidRDefault="00BF701A" w:rsidP="003D2316">
            <w:pPr>
              <w:pStyle w:val="BodyText"/>
              <w:ind w:right="568"/>
              <w:rPr>
                <w:rFonts w:ascii="Arial" w:hAnsi="Arial" w:cs="Arial"/>
                <w:sz w:val="20"/>
                <w:szCs w:val="20"/>
              </w:rPr>
            </w:pPr>
            <w:r w:rsidRPr="00A702FC">
              <w:rPr>
                <w:rFonts w:ascii="Arial" w:hAnsi="Arial" w:cs="Arial"/>
                <w:sz w:val="20"/>
                <w:szCs w:val="20"/>
              </w:rPr>
              <w:t>A t</w:t>
            </w:r>
            <w:r w:rsidRPr="00A702FC">
              <w:rPr>
                <w:rFonts w:ascii="Arial" w:hAnsi="Arial" w:cs="Arial"/>
                <w:i/>
                <w:sz w:val="20"/>
                <w:szCs w:val="20"/>
              </w:rPr>
              <w:t xml:space="preserve">rial of treatment </w:t>
            </w:r>
            <w:r w:rsidRPr="00A702FC">
              <w:rPr>
                <w:rFonts w:ascii="Arial" w:hAnsi="Arial" w:cs="Arial"/>
                <w:sz w:val="20"/>
                <w:szCs w:val="20"/>
              </w:rPr>
              <w:t>refers to a situation where a clinician has exposed a patient to a treatment for the purpose of assessing whether or not the patient is</w:t>
            </w:r>
            <w:r w:rsidRPr="00A702FC">
              <w:rPr>
                <w:rFonts w:ascii="Arial" w:hAnsi="Arial" w:cs="Arial"/>
                <w:spacing w:val="-31"/>
                <w:sz w:val="20"/>
                <w:szCs w:val="20"/>
              </w:rPr>
              <w:t xml:space="preserve"> </w:t>
            </w:r>
            <w:r w:rsidRPr="00A702FC">
              <w:rPr>
                <w:rFonts w:ascii="Arial" w:hAnsi="Arial" w:cs="Arial"/>
                <w:sz w:val="20"/>
                <w:szCs w:val="20"/>
              </w:rPr>
              <w:t>likely to benefit from longer term</w:t>
            </w:r>
            <w:r w:rsidRPr="00A702FC">
              <w:rPr>
                <w:rFonts w:ascii="Arial" w:hAnsi="Arial" w:cs="Arial"/>
                <w:spacing w:val="-13"/>
                <w:sz w:val="20"/>
                <w:szCs w:val="20"/>
              </w:rPr>
              <w:t xml:space="preserve"> </w:t>
            </w:r>
            <w:r w:rsidRPr="00A702FC">
              <w:rPr>
                <w:rFonts w:ascii="Arial" w:hAnsi="Arial" w:cs="Arial"/>
                <w:sz w:val="20"/>
                <w:szCs w:val="20"/>
              </w:rPr>
              <w:t>treatment</w:t>
            </w:r>
          </w:p>
          <w:p w14:paraId="0C632DBE" w14:textId="6F5430FF" w:rsidR="0099521D" w:rsidRPr="00A702FC" w:rsidRDefault="0099521D" w:rsidP="003D2316">
            <w:pPr>
              <w:pStyle w:val="BodyText"/>
              <w:ind w:right="568"/>
              <w:rPr>
                <w:rFonts w:ascii="Arial" w:hAnsi="Arial" w:cs="Arial"/>
                <w:sz w:val="20"/>
                <w:szCs w:val="20"/>
              </w:rPr>
            </w:pPr>
          </w:p>
        </w:tc>
      </w:tr>
    </w:tbl>
    <w:p w14:paraId="1DDAB961" w14:textId="77777777" w:rsidR="009A5324" w:rsidRPr="00A702FC" w:rsidRDefault="009A5324" w:rsidP="004360AA">
      <w:pPr>
        <w:pStyle w:val="BodyText"/>
        <w:ind w:right="568"/>
      </w:pPr>
    </w:p>
    <w:p w14:paraId="6B450D96" w14:textId="77777777" w:rsidR="00BB6C94" w:rsidRPr="00A702FC" w:rsidRDefault="00BB6C94" w:rsidP="00B83B20"/>
    <w:p w14:paraId="3608A3E7" w14:textId="3E902E77" w:rsidR="00740392" w:rsidRPr="004172AD" w:rsidRDefault="004172AD" w:rsidP="004172AD">
      <w:pPr>
        <w:rPr>
          <w:rFonts w:ascii="Arial" w:hAnsi="Arial" w:cs="Arial"/>
          <w:b/>
          <w:bCs/>
          <w:color w:val="4472C4" w:themeColor="accent5"/>
          <w:sz w:val="28"/>
          <w:szCs w:val="28"/>
        </w:rPr>
      </w:pPr>
      <w:r>
        <w:rPr>
          <w:rFonts w:ascii="Arial" w:hAnsi="Arial" w:cs="Arial"/>
          <w:b/>
          <w:bCs/>
          <w:color w:val="4472C4" w:themeColor="accent5"/>
          <w:sz w:val="28"/>
          <w:szCs w:val="28"/>
        </w:rPr>
        <w:t>8.</w:t>
      </w:r>
      <w:r w:rsidR="00BB32D8" w:rsidRPr="004172AD">
        <w:rPr>
          <w:rFonts w:ascii="Arial" w:hAnsi="Arial" w:cs="Arial"/>
          <w:b/>
          <w:bCs/>
          <w:color w:val="4472C4" w:themeColor="accent5"/>
          <w:sz w:val="28"/>
          <w:szCs w:val="28"/>
        </w:rPr>
        <w:t>Refer</w:t>
      </w:r>
      <w:r w:rsidR="00877B92" w:rsidRPr="004172AD">
        <w:rPr>
          <w:rFonts w:ascii="Arial" w:hAnsi="Arial" w:cs="Arial"/>
          <w:b/>
          <w:bCs/>
          <w:color w:val="4472C4" w:themeColor="accent5"/>
          <w:sz w:val="28"/>
          <w:szCs w:val="28"/>
        </w:rPr>
        <w:t>ences</w:t>
      </w:r>
    </w:p>
    <w:p w14:paraId="11FD1C71" w14:textId="27E9211F" w:rsidR="00877B92" w:rsidRPr="00A702FC" w:rsidRDefault="00877B92" w:rsidP="007400A0">
      <w:pPr>
        <w:widowControl w:val="0"/>
        <w:tabs>
          <w:tab w:val="left" w:pos="686"/>
          <w:tab w:val="left" w:pos="687"/>
        </w:tabs>
        <w:autoSpaceDE w:val="0"/>
        <w:autoSpaceDN w:val="0"/>
        <w:spacing w:after="0" w:line="266" w:lineRule="exact"/>
        <w:ind w:right="346"/>
        <w:rPr>
          <w:rStyle w:val="Hyperlink"/>
          <w:rFonts w:ascii="Arial" w:hAnsi="Arial" w:cs="Arial"/>
        </w:rPr>
      </w:pPr>
      <w:r w:rsidRPr="00A702FC">
        <w:rPr>
          <w:rFonts w:ascii="Arial" w:hAnsi="Arial" w:cs="Arial"/>
        </w:rPr>
        <w:t xml:space="preserve">UK Policy Framework for Health and Social Care Research, DHSC, 2017 </w:t>
      </w:r>
      <w:hyperlink r:id="rId17" w:history="1">
        <w:r w:rsidRPr="00A702FC">
          <w:rPr>
            <w:rStyle w:val="Hyperlink"/>
            <w:rFonts w:ascii="Arial" w:hAnsi="Arial" w:cs="Arial"/>
          </w:rPr>
          <w:t>https://www.hra.nhs.uk/planning-and-improving-research/policies-standards-legislation/uk-policy-framework-health-social-care-research/</w:t>
        </w:r>
      </w:hyperlink>
    </w:p>
    <w:p w14:paraId="35A868E2" w14:textId="77777777" w:rsidR="007400A0" w:rsidRPr="00A702FC" w:rsidRDefault="007400A0" w:rsidP="007400A0">
      <w:pPr>
        <w:widowControl w:val="0"/>
        <w:tabs>
          <w:tab w:val="left" w:pos="686"/>
          <w:tab w:val="left" w:pos="687"/>
        </w:tabs>
        <w:autoSpaceDE w:val="0"/>
        <w:autoSpaceDN w:val="0"/>
        <w:spacing w:after="0" w:line="266" w:lineRule="exact"/>
        <w:ind w:right="346"/>
        <w:rPr>
          <w:rFonts w:ascii="Arial" w:hAnsi="Arial" w:cs="Arial"/>
        </w:rPr>
      </w:pPr>
    </w:p>
    <w:p w14:paraId="3638CC94" w14:textId="77777777" w:rsidR="00877B92" w:rsidRPr="00A702FC" w:rsidRDefault="00877B92" w:rsidP="00877B92">
      <w:pPr>
        <w:widowControl w:val="0"/>
        <w:tabs>
          <w:tab w:val="left" w:pos="686"/>
          <w:tab w:val="left" w:pos="687"/>
        </w:tabs>
        <w:autoSpaceDE w:val="0"/>
        <w:autoSpaceDN w:val="0"/>
        <w:spacing w:after="0" w:line="266" w:lineRule="exact"/>
        <w:ind w:right="346"/>
        <w:rPr>
          <w:rFonts w:ascii="Arial" w:hAnsi="Arial" w:cs="Arial"/>
        </w:rPr>
      </w:pPr>
      <w:r w:rsidRPr="002C3C46">
        <w:rPr>
          <w:rFonts w:ascii="Arial" w:hAnsi="Arial" w:cs="Arial"/>
        </w:rPr>
        <w:t xml:space="preserve">Saving and Improving Lives: The future of UK Clinical Research Delivery, 2021 </w:t>
      </w:r>
      <w:hyperlink r:id="rId18" w:history="1">
        <w:r w:rsidRPr="002C3C46">
          <w:rPr>
            <w:rStyle w:val="Hyperlink"/>
            <w:rFonts w:ascii="Arial" w:hAnsi="Arial" w:cs="Arial"/>
          </w:rPr>
          <w:t>https://www.hra.nhs.uk/planning-and-improving-research/policies-standards-legislation/uk-policy-framework-health-social-care-research/</w:t>
        </w:r>
      </w:hyperlink>
      <w:r w:rsidRPr="00A702FC">
        <w:rPr>
          <w:rFonts w:ascii="Arial" w:hAnsi="Arial" w:cs="Arial"/>
        </w:rPr>
        <w:br/>
      </w:r>
    </w:p>
    <w:p w14:paraId="3C0D2614" w14:textId="77777777" w:rsidR="00877B92" w:rsidRPr="00A702FC" w:rsidRDefault="00877B92" w:rsidP="00877B92">
      <w:pPr>
        <w:widowControl w:val="0"/>
        <w:tabs>
          <w:tab w:val="left" w:pos="686"/>
          <w:tab w:val="left" w:pos="687"/>
        </w:tabs>
        <w:autoSpaceDE w:val="0"/>
        <w:autoSpaceDN w:val="0"/>
        <w:spacing w:after="0" w:line="266" w:lineRule="exact"/>
        <w:ind w:right="346"/>
        <w:rPr>
          <w:rFonts w:ascii="Arial" w:hAnsi="Arial" w:cs="Arial"/>
        </w:rPr>
      </w:pPr>
      <w:r w:rsidRPr="00A702FC">
        <w:rPr>
          <w:rFonts w:ascii="Arial" w:hAnsi="Arial" w:cs="Arial"/>
        </w:rPr>
        <w:t>Collaborative Commissioning Policy: Ethical Framework for priority setting and resource allocation.</w:t>
      </w:r>
      <w:r w:rsidRPr="00A702FC">
        <w:rPr>
          <w:rFonts w:ascii="Arial" w:hAnsi="Arial" w:cs="Arial"/>
        </w:rPr>
        <w:br/>
      </w:r>
    </w:p>
    <w:p w14:paraId="5F7A9EB6" w14:textId="77777777" w:rsidR="00877B92" w:rsidRPr="00A702FC" w:rsidRDefault="00877B92" w:rsidP="00877B92">
      <w:pPr>
        <w:widowControl w:val="0"/>
        <w:tabs>
          <w:tab w:val="left" w:pos="686"/>
          <w:tab w:val="left" w:pos="687"/>
        </w:tabs>
        <w:autoSpaceDE w:val="0"/>
        <w:autoSpaceDN w:val="0"/>
        <w:spacing w:after="0" w:line="266" w:lineRule="exact"/>
        <w:ind w:right="346"/>
        <w:rPr>
          <w:rFonts w:ascii="Arial" w:hAnsi="Arial" w:cs="Arial"/>
        </w:rPr>
      </w:pPr>
      <w:r w:rsidRPr="00A702FC">
        <w:rPr>
          <w:rFonts w:ascii="Arial" w:hAnsi="Arial" w:cs="Arial"/>
        </w:rPr>
        <w:t>Collaborative Commissioning Policy: On-going access to treatment following the completion of industry sponsored clinical trials or</w:t>
      </w:r>
      <w:r w:rsidRPr="00A702FC">
        <w:rPr>
          <w:rFonts w:ascii="Arial" w:hAnsi="Arial" w:cs="Arial"/>
          <w:spacing w:val="-17"/>
        </w:rPr>
        <w:t xml:space="preserve"> </w:t>
      </w:r>
      <w:r w:rsidRPr="00A702FC">
        <w:rPr>
          <w:rFonts w:ascii="Arial" w:hAnsi="Arial" w:cs="Arial"/>
        </w:rPr>
        <w:t>funding</w:t>
      </w:r>
      <w:r w:rsidRPr="00A702FC">
        <w:rPr>
          <w:rFonts w:ascii="Arial" w:hAnsi="Arial" w:cs="Arial"/>
        </w:rPr>
        <w:br/>
      </w:r>
    </w:p>
    <w:p w14:paraId="7E2796F6" w14:textId="77777777" w:rsidR="00877B92" w:rsidRPr="00A702FC" w:rsidRDefault="00877B92" w:rsidP="00877B92">
      <w:pPr>
        <w:widowControl w:val="0"/>
        <w:tabs>
          <w:tab w:val="left" w:pos="820"/>
          <w:tab w:val="left" w:pos="821"/>
        </w:tabs>
        <w:autoSpaceDE w:val="0"/>
        <w:autoSpaceDN w:val="0"/>
        <w:spacing w:before="71" w:after="0" w:line="240" w:lineRule="auto"/>
        <w:ind w:right="201"/>
        <w:rPr>
          <w:rFonts w:ascii="Arial" w:hAnsi="Arial" w:cs="Arial"/>
        </w:rPr>
      </w:pPr>
      <w:r w:rsidRPr="00A702FC">
        <w:rPr>
          <w:rFonts w:ascii="Arial" w:hAnsi="Arial" w:cs="Arial"/>
        </w:rPr>
        <w:t>Collaborative Commissioning Policy: On-going access to treatment following the completion of a trial explicitly funded by the Clinical Commissioning</w:t>
      </w:r>
      <w:r w:rsidRPr="00A702FC">
        <w:rPr>
          <w:rFonts w:ascii="Arial" w:hAnsi="Arial" w:cs="Arial"/>
          <w:spacing w:val="-22"/>
        </w:rPr>
        <w:t xml:space="preserve"> </w:t>
      </w:r>
      <w:r w:rsidRPr="00A702FC">
        <w:rPr>
          <w:rFonts w:ascii="Arial" w:hAnsi="Arial" w:cs="Arial"/>
        </w:rPr>
        <w:t>Group.</w:t>
      </w:r>
      <w:r w:rsidRPr="00A702FC">
        <w:rPr>
          <w:rFonts w:ascii="Arial" w:hAnsi="Arial" w:cs="Arial"/>
        </w:rPr>
        <w:br/>
      </w:r>
    </w:p>
    <w:p w14:paraId="4FD75C51" w14:textId="77777777" w:rsidR="00877B92" w:rsidRPr="00A702FC" w:rsidRDefault="00877B92" w:rsidP="00877B92">
      <w:pPr>
        <w:widowControl w:val="0"/>
        <w:tabs>
          <w:tab w:val="left" w:pos="686"/>
          <w:tab w:val="left" w:pos="687"/>
        </w:tabs>
        <w:autoSpaceDE w:val="0"/>
        <w:autoSpaceDN w:val="0"/>
        <w:spacing w:after="0" w:line="266" w:lineRule="exact"/>
        <w:ind w:right="346"/>
        <w:rPr>
          <w:rFonts w:ascii="Arial" w:hAnsi="Arial" w:cs="Arial"/>
        </w:rPr>
      </w:pPr>
      <w:r w:rsidRPr="00A702FC">
        <w:rPr>
          <w:rFonts w:ascii="Arial" w:hAnsi="Arial" w:cs="Arial"/>
        </w:rPr>
        <w:t>Collaborative Commissioning Policy: On-going access to treatment following the completion of non-commercially funded clinical trials covered by Department of Health Guidance HSG (97)</w:t>
      </w:r>
      <w:r w:rsidRPr="00A702FC">
        <w:rPr>
          <w:rFonts w:ascii="Arial" w:hAnsi="Arial" w:cs="Arial"/>
          <w:spacing w:val="-24"/>
        </w:rPr>
        <w:t xml:space="preserve"> </w:t>
      </w:r>
      <w:r w:rsidRPr="00A702FC">
        <w:rPr>
          <w:rFonts w:ascii="Arial" w:hAnsi="Arial" w:cs="Arial"/>
        </w:rPr>
        <w:t xml:space="preserve">32. Attributing the costs of health and social care research (Acord), Department of Health and Social Care, 2012 </w:t>
      </w:r>
      <w:hyperlink r:id="rId19" w:history="1">
        <w:r w:rsidRPr="00A702FC">
          <w:rPr>
            <w:rStyle w:val="Hyperlink"/>
            <w:rFonts w:ascii="Arial" w:hAnsi="Arial" w:cs="Arial"/>
          </w:rPr>
          <w:t>https://www.gov.uk/government/publications/guidance-on-attributing-the-costs-of-health-and-social-care-research</w:t>
        </w:r>
      </w:hyperlink>
    </w:p>
    <w:p w14:paraId="0C3B6914" w14:textId="77777777" w:rsidR="0099521D" w:rsidRPr="00A702FC" w:rsidRDefault="0099521D" w:rsidP="00877B92">
      <w:pPr>
        <w:widowControl w:val="0"/>
        <w:tabs>
          <w:tab w:val="left" w:pos="686"/>
          <w:tab w:val="left" w:pos="687"/>
        </w:tabs>
        <w:autoSpaceDE w:val="0"/>
        <w:autoSpaceDN w:val="0"/>
        <w:spacing w:after="0" w:line="266" w:lineRule="exact"/>
        <w:ind w:right="346"/>
        <w:rPr>
          <w:rFonts w:ascii="Arial" w:hAnsi="Arial" w:cs="Arial"/>
        </w:rPr>
      </w:pPr>
    </w:p>
    <w:p w14:paraId="7F373F48" w14:textId="0DA84A69" w:rsidR="00877B92" w:rsidRPr="00A702FC" w:rsidRDefault="00877B92" w:rsidP="00877B92">
      <w:pPr>
        <w:widowControl w:val="0"/>
        <w:tabs>
          <w:tab w:val="left" w:pos="686"/>
          <w:tab w:val="left" w:pos="687"/>
        </w:tabs>
        <w:autoSpaceDE w:val="0"/>
        <w:autoSpaceDN w:val="0"/>
        <w:spacing w:after="0" w:line="266" w:lineRule="exact"/>
        <w:ind w:right="346"/>
        <w:rPr>
          <w:rFonts w:ascii="Arial" w:hAnsi="Arial" w:cs="Arial"/>
        </w:rPr>
      </w:pPr>
      <w:r w:rsidRPr="00A702FC">
        <w:rPr>
          <w:rFonts w:ascii="Arial" w:hAnsi="Arial" w:cs="Arial"/>
        </w:rPr>
        <w:t>Collaborative Commissioning Policy: On-going access to treatment following ‘a trial of treatment’ which has not been sanctioned by the Clinical Commissioning Group for a treatment which is not routinely funded or has not been formally assessed and prioritised.</w:t>
      </w:r>
    </w:p>
    <w:p w14:paraId="68648138" w14:textId="77777777" w:rsidR="00877B92" w:rsidRPr="00A702FC" w:rsidRDefault="00877B92" w:rsidP="00877B92">
      <w:pPr>
        <w:widowControl w:val="0"/>
        <w:tabs>
          <w:tab w:val="left" w:pos="686"/>
          <w:tab w:val="left" w:pos="687"/>
        </w:tabs>
        <w:autoSpaceDE w:val="0"/>
        <w:autoSpaceDN w:val="0"/>
        <w:spacing w:after="0" w:line="266" w:lineRule="exact"/>
        <w:ind w:right="346"/>
        <w:rPr>
          <w:rFonts w:ascii="Arial" w:hAnsi="Arial" w:cs="Arial"/>
        </w:rPr>
      </w:pPr>
    </w:p>
    <w:p w14:paraId="25D288DD" w14:textId="012AF779" w:rsidR="00877B92" w:rsidRPr="00A702FC" w:rsidRDefault="00877B92" w:rsidP="00877B92">
      <w:pPr>
        <w:widowControl w:val="0"/>
        <w:tabs>
          <w:tab w:val="left" w:pos="686"/>
          <w:tab w:val="left" w:pos="687"/>
        </w:tabs>
        <w:autoSpaceDE w:val="0"/>
        <w:autoSpaceDN w:val="0"/>
        <w:spacing w:after="0" w:line="266" w:lineRule="exact"/>
        <w:ind w:right="346"/>
        <w:rPr>
          <w:rFonts w:ascii="Arial" w:hAnsi="Arial" w:cs="Arial"/>
        </w:rPr>
      </w:pPr>
      <w:r w:rsidRPr="00A702FC">
        <w:rPr>
          <w:rFonts w:ascii="Arial" w:hAnsi="Arial" w:cs="Arial"/>
        </w:rPr>
        <w:t>Department of Health letter, Requirements to support research in the NHS, Gateway number 12153, July 2009.</w:t>
      </w:r>
    </w:p>
    <w:p w14:paraId="18D9477A" w14:textId="77777777" w:rsidR="00877B92" w:rsidRPr="00A702FC" w:rsidRDefault="007D4B74" w:rsidP="00877B92">
      <w:pPr>
        <w:widowControl w:val="0"/>
        <w:tabs>
          <w:tab w:val="left" w:pos="686"/>
          <w:tab w:val="left" w:pos="687"/>
        </w:tabs>
        <w:autoSpaceDE w:val="0"/>
        <w:autoSpaceDN w:val="0"/>
        <w:spacing w:after="0" w:line="266" w:lineRule="exact"/>
        <w:ind w:right="346"/>
        <w:rPr>
          <w:rFonts w:ascii="Arial" w:hAnsi="Arial" w:cs="Arial"/>
        </w:rPr>
      </w:pPr>
      <w:hyperlink r:id="rId20" w:history="1">
        <w:r w:rsidR="00877B92" w:rsidRPr="00A702FC">
          <w:rPr>
            <w:rStyle w:val="Hyperlink"/>
            <w:rFonts w:ascii="Arial" w:hAnsi="Arial" w:cs="Arial"/>
          </w:rPr>
          <w:t>http://webarchive.nationalarchives.gov.uk/20130107105354/http://www.dh.gov.uk/prod_consum_dh/groups/dh_digitalassets/documents/digitalasset/dh_102098.pdf</w:t>
        </w:r>
      </w:hyperlink>
      <w:r w:rsidR="00877B92" w:rsidRPr="00A702FC">
        <w:rPr>
          <w:rFonts w:ascii="Arial" w:hAnsi="Arial" w:cs="Arial"/>
        </w:rPr>
        <w:br/>
      </w:r>
    </w:p>
    <w:p w14:paraId="6297C7D8" w14:textId="77777777" w:rsidR="00877B92" w:rsidRPr="00A702FC" w:rsidRDefault="00877B92" w:rsidP="00877B92">
      <w:pPr>
        <w:widowControl w:val="0"/>
        <w:tabs>
          <w:tab w:val="left" w:pos="686"/>
          <w:tab w:val="left" w:pos="687"/>
        </w:tabs>
        <w:autoSpaceDE w:val="0"/>
        <w:autoSpaceDN w:val="0"/>
        <w:spacing w:after="0" w:line="266" w:lineRule="exact"/>
        <w:ind w:right="346"/>
        <w:rPr>
          <w:rFonts w:ascii="Arial" w:hAnsi="Arial" w:cs="Arial"/>
        </w:rPr>
      </w:pPr>
      <w:r w:rsidRPr="00A702FC">
        <w:rPr>
          <w:rFonts w:ascii="Arial" w:hAnsi="Arial" w:cs="Arial"/>
        </w:rPr>
        <w:t xml:space="preserve">Department of Health: HSG(97)32:Responsibilities for meeting Patient Care Costs associated with Research and Development in the NHS. </w:t>
      </w:r>
      <w:hyperlink r:id="rId21" w:history="1">
        <w:r w:rsidRPr="00A702FC">
          <w:rPr>
            <w:rStyle w:val="Hyperlink"/>
            <w:rFonts w:ascii="Arial" w:hAnsi="Arial" w:cs="Arial"/>
          </w:rPr>
          <w:t>http://webarchive.nationalarchives.gov.uk/20130107105354/http://www.dh.gov.uk/en/Researchanddevelopment/A-Z/DH_4016456</w:t>
        </w:r>
      </w:hyperlink>
      <w:r w:rsidRPr="00A702FC">
        <w:rPr>
          <w:rFonts w:ascii="Arial" w:hAnsi="Arial" w:cs="Arial"/>
        </w:rPr>
        <w:br/>
      </w:r>
    </w:p>
    <w:p w14:paraId="73DA8FF8" w14:textId="77777777" w:rsidR="00877B92" w:rsidRPr="00A702FC" w:rsidRDefault="00877B92" w:rsidP="00877B92">
      <w:pPr>
        <w:widowControl w:val="0"/>
        <w:tabs>
          <w:tab w:val="left" w:pos="686"/>
          <w:tab w:val="left" w:pos="687"/>
        </w:tabs>
        <w:autoSpaceDE w:val="0"/>
        <w:autoSpaceDN w:val="0"/>
        <w:spacing w:after="0" w:line="266" w:lineRule="exact"/>
        <w:ind w:right="346"/>
        <w:rPr>
          <w:rFonts w:ascii="Arial" w:hAnsi="Arial" w:cs="Arial"/>
        </w:rPr>
      </w:pPr>
      <w:r w:rsidRPr="00A702FC">
        <w:rPr>
          <w:rFonts w:ascii="Arial" w:hAnsi="Arial" w:cs="Arial"/>
        </w:rPr>
        <w:t>Department of Health, The NHS Constitution for England, July 2015,</w:t>
      </w:r>
    </w:p>
    <w:p w14:paraId="66EBD269" w14:textId="77777777" w:rsidR="00A56716" w:rsidRPr="00A702FC" w:rsidRDefault="007D4B74" w:rsidP="00877B92">
      <w:pPr>
        <w:tabs>
          <w:tab w:val="left" w:pos="686"/>
          <w:tab w:val="left" w:pos="687"/>
        </w:tabs>
        <w:spacing w:line="266" w:lineRule="exact"/>
        <w:ind w:right="346"/>
        <w:rPr>
          <w:rStyle w:val="Hyperlink"/>
          <w:rFonts w:ascii="Arial" w:hAnsi="Arial" w:cs="Arial"/>
        </w:rPr>
      </w:pPr>
      <w:hyperlink r:id="rId22" w:history="1">
        <w:r w:rsidR="00877B92" w:rsidRPr="00A702FC">
          <w:rPr>
            <w:rStyle w:val="Hyperlink"/>
            <w:rFonts w:ascii="Arial" w:hAnsi="Arial" w:cs="Arial"/>
          </w:rPr>
          <w:t>https://www.gov.uk/government/publications/the-nhs-constitution-for-england</w:t>
        </w:r>
      </w:hyperlink>
    </w:p>
    <w:p w14:paraId="15B797D3" w14:textId="617EB9C0" w:rsidR="006C17A5" w:rsidRDefault="006C17A5" w:rsidP="00877B92">
      <w:pPr>
        <w:widowControl w:val="0"/>
        <w:tabs>
          <w:tab w:val="left" w:pos="686"/>
          <w:tab w:val="left" w:pos="687"/>
        </w:tabs>
        <w:autoSpaceDE w:val="0"/>
        <w:autoSpaceDN w:val="0"/>
        <w:spacing w:after="0" w:line="266" w:lineRule="exact"/>
        <w:ind w:right="346"/>
        <w:rPr>
          <w:rFonts w:ascii="Arial" w:hAnsi="Arial" w:cs="Arial"/>
        </w:rPr>
      </w:pPr>
      <w:r w:rsidRPr="00A702FC">
        <w:rPr>
          <w:rFonts w:ascii="Arial" w:hAnsi="Arial" w:cs="Arial"/>
        </w:rPr>
        <w:t>Department of Health</w:t>
      </w:r>
      <w:r w:rsidRPr="006C17A5">
        <w:rPr>
          <w:rFonts w:ascii="Arial" w:hAnsi="Arial" w:cs="Arial"/>
        </w:rPr>
        <w:t xml:space="preserve"> </w:t>
      </w:r>
      <w:r>
        <w:rPr>
          <w:rFonts w:ascii="Arial" w:hAnsi="Arial" w:cs="Arial"/>
        </w:rPr>
        <w:t xml:space="preserve">and Social Care, </w:t>
      </w:r>
      <w:r w:rsidRPr="00494407">
        <w:rPr>
          <w:rFonts w:ascii="Arial" w:hAnsi="Arial" w:cs="Arial"/>
        </w:rPr>
        <w:t>Excess treatment costs Guidance on the national management model for England</w:t>
      </w:r>
      <w:r>
        <w:rPr>
          <w:rFonts w:ascii="Arial" w:hAnsi="Arial" w:cs="Arial"/>
        </w:rPr>
        <w:t>, September 2021</w:t>
      </w:r>
    </w:p>
    <w:p w14:paraId="55A8D556" w14:textId="67752A81" w:rsidR="00B7688E" w:rsidRPr="00852C73" w:rsidRDefault="007D4B74" w:rsidP="00877B92">
      <w:pPr>
        <w:widowControl w:val="0"/>
        <w:tabs>
          <w:tab w:val="left" w:pos="686"/>
          <w:tab w:val="left" w:pos="687"/>
        </w:tabs>
        <w:autoSpaceDE w:val="0"/>
        <w:autoSpaceDN w:val="0"/>
        <w:spacing w:after="0" w:line="266" w:lineRule="exact"/>
        <w:ind w:right="346"/>
        <w:rPr>
          <w:rFonts w:ascii="Arial" w:hAnsi="Arial" w:cs="Arial"/>
        </w:rPr>
      </w:pPr>
      <w:hyperlink r:id="rId23" w:history="1">
        <w:r w:rsidR="00852C73" w:rsidRPr="00BB6C94">
          <w:rPr>
            <w:rStyle w:val="Hyperlink"/>
            <w:rFonts w:ascii="Arial" w:hAnsi="Arial" w:cs="Arial"/>
          </w:rPr>
          <w:t>NHS England » Excess treatment costs: Guidance on the national management model for England</w:t>
        </w:r>
      </w:hyperlink>
    </w:p>
    <w:p w14:paraId="4EFAFC88" w14:textId="77777777" w:rsidR="006C17A5" w:rsidRDefault="006C17A5" w:rsidP="00877B92">
      <w:pPr>
        <w:widowControl w:val="0"/>
        <w:tabs>
          <w:tab w:val="left" w:pos="686"/>
          <w:tab w:val="left" w:pos="687"/>
        </w:tabs>
        <w:autoSpaceDE w:val="0"/>
        <w:autoSpaceDN w:val="0"/>
        <w:spacing w:after="0" w:line="266" w:lineRule="exact"/>
        <w:ind w:right="346"/>
        <w:rPr>
          <w:rFonts w:ascii="Arial" w:hAnsi="Arial" w:cs="Arial"/>
        </w:rPr>
      </w:pPr>
    </w:p>
    <w:p w14:paraId="56C87015" w14:textId="420A06E7" w:rsidR="00877B92" w:rsidRPr="00A702FC" w:rsidRDefault="00877B92" w:rsidP="00877B92">
      <w:pPr>
        <w:widowControl w:val="0"/>
        <w:tabs>
          <w:tab w:val="left" w:pos="686"/>
          <w:tab w:val="left" w:pos="687"/>
        </w:tabs>
        <w:autoSpaceDE w:val="0"/>
        <w:autoSpaceDN w:val="0"/>
        <w:spacing w:after="0" w:line="266" w:lineRule="exact"/>
        <w:ind w:right="346"/>
        <w:rPr>
          <w:rFonts w:ascii="Arial" w:hAnsi="Arial" w:cs="Arial"/>
        </w:rPr>
      </w:pPr>
      <w:r w:rsidRPr="00A702FC">
        <w:rPr>
          <w:rFonts w:ascii="Arial" w:hAnsi="Arial" w:cs="Arial"/>
        </w:rPr>
        <w:t xml:space="preserve">National Institute for Health and Care Excellence </w:t>
      </w:r>
      <w:hyperlink r:id="rId24" w:history="1">
        <w:r w:rsidRPr="00A702FC">
          <w:rPr>
            <w:rStyle w:val="Hyperlink"/>
            <w:rFonts w:ascii="Arial" w:hAnsi="Arial" w:cs="Arial"/>
          </w:rPr>
          <w:t>https://www.nice.org.uk</w:t>
        </w:r>
      </w:hyperlink>
      <w:r w:rsidRPr="00A702FC">
        <w:rPr>
          <w:rFonts w:ascii="Arial" w:hAnsi="Arial" w:cs="Arial"/>
        </w:rPr>
        <w:br/>
        <w:t>NHS Confederation Priority Setting Series ,2008</w:t>
      </w:r>
    </w:p>
    <w:p w14:paraId="6280C917" w14:textId="77777777" w:rsidR="00877B92" w:rsidRPr="00A702FC" w:rsidRDefault="00877B92" w:rsidP="0099521D">
      <w:pPr>
        <w:pStyle w:val="ListParagraph"/>
        <w:widowControl w:val="0"/>
        <w:numPr>
          <w:ilvl w:val="4"/>
          <w:numId w:val="28"/>
        </w:numPr>
        <w:tabs>
          <w:tab w:val="left" w:pos="686"/>
          <w:tab w:val="left" w:pos="687"/>
        </w:tabs>
        <w:autoSpaceDE w:val="0"/>
        <w:autoSpaceDN w:val="0"/>
        <w:spacing w:after="0" w:line="266" w:lineRule="exact"/>
        <w:ind w:right="346"/>
        <w:contextualSpacing w:val="0"/>
        <w:rPr>
          <w:rFonts w:ascii="Arial" w:hAnsi="Arial" w:cs="Arial"/>
        </w:rPr>
      </w:pPr>
      <w:r w:rsidRPr="00A702FC">
        <w:rPr>
          <w:rFonts w:ascii="Arial" w:hAnsi="Arial" w:cs="Arial"/>
        </w:rPr>
        <w:t>Priority setting : an Overview</w:t>
      </w:r>
    </w:p>
    <w:p w14:paraId="01AF740A" w14:textId="77777777" w:rsidR="00877B92" w:rsidRPr="00A702FC" w:rsidRDefault="00877B92" w:rsidP="0099521D">
      <w:pPr>
        <w:pStyle w:val="ListParagraph"/>
        <w:widowControl w:val="0"/>
        <w:numPr>
          <w:ilvl w:val="4"/>
          <w:numId w:val="28"/>
        </w:numPr>
        <w:tabs>
          <w:tab w:val="left" w:pos="686"/>
          <w:tab w:val="left" w:pos="687"/>
        </w:tabs>
        <w:autoSpaceDE w:val="0"/>
        <w:autoSpaceDN w:val="0"/>
        <w:spacing w:after="0" w:line="266" w:lineRule="exact"/>
        <w:ind w:right="346"/>
        <w:contextualSpacing w:val="0"/>
        <w:rPr>
          <w:rFonts w:ascii="Arial" w:hAnsi="Arial" w:cs="Arial"/>
        </w:rPr>
      </w:pPr>
      <w:r w:rsidRPr="00A702FC">
        <w:rPr>
          <w:rFonts w:ascii="Arial" w:hAnsi="Arial" w:cs="Arial"/>
        </w:rPr>
        <w:t>Priority setting: legal consideration</w:t>
      </w:r>
    </w:p>
    <w:p w14:paraId="430360B3" w14:textId="77777777" w:rsidR="00877B92" w:rsidRPr="00A702FC" w:rsidRDefault="00877B92" w:rsidP="0099521D">
      <w:pPr>
        <w:pStyle w:val="ListParagraph"/>
        <w:widowControl w:val="0"/>
        <w:numPr>
          <w:ilvl w:val="4"/>
          <w:numId w:val="28"/>
        </w:numPr>
        <w:tabs>
          <w:tab w:val="left" w:pos="686"/>
          <w:tab w:val="left" w:pos="687"/>
        </w:tabs>
        <w:autoSpaceDE w:val="0"/>
        <w:autoSpaceDN w:val="0"/>
        <w:spacing w:after="0" w:line="266" w:lineRule="exact"/>
        <w:ind w:right="346"/>
        <w:contextualSpacing w:val="0"/>
        <w:rPr>
          <w:rFonts w:ascii="Arial" w:hAnsi="Arial" w:cs="Arial"/>
        </w:rPr>
      </w:pPr>
      <w:r w:rsidRPr="00A702FC">
        <w:rPr>
          <w:rFonts w:ascii="Arial" w:hAnsi="Arial" w:cs="Arial"/>
        </w:rPr>
        <w:t>Priority setting: strategic planning</w:t>
      </w:r>
    </w:p>
    <w:p w14:paraId="73A18E4A" w14:textId="77777777" w:rsidR="00877B92" w:rsidRPr="00A702FC" w:rsidRDefault="00877B92" w:rsidP="0099521D">
      <w:pPr>
        <w:pStyle w:val="ListParagraph"/>
        <w:widowControl w:val="0"/>
        <w:numPr>
          <w:ilvl w:val="4"/>
          <w:numId w:val="28"/>
        </w:numPr>
        <w:tabs>
          <w:tab w:val="left" w:pos="686"/>
          <w:tab w:val="left" w:pos="687"/>
        </w:tabs>
        <w:autoSpaceDE w:val="0"/>
        <w:autoSpaceDN w:val="0"/>
        <w:spacing w:after="0" w:line="266" w:lineRule="exact"/>
        <w:ind w:right="346"/>
        <w:contextualSpacing w:val="0"/>
        <w:rPr>
          <w:rFonts w:ascii="Arial" w:hAnsi="Arial" w:cs="Arial"/>
        </w:rPr>
      </w:pPr>
      <w:r w:rsidRPr="00A702FC">
        <w:rPr>
          <w:rFonts w:ascii="Arial" w:hAnsi="Arial" w:cs="Arial"/>
        </w:rPr>
        <w:t>Priority setting: managing new treatments</w:t>
      </w:r>
    </w:p>
    <w:p w14:paraId="17DCA6DE" w14:textId="77777777" w:rsidR="00877B92" w:rsidRPr="00A702FC" w:rsidRDefault="00877B92" w:rsidP="0099521D">
      <w:pPr>
        <w:pStyle w:val="ListParagraph"/>
        <w:widowControl w:val="0"/>
        <w:numPr>
          <w:ilvl w:val="4"/>
          <w:numId w:val="28"/>
        </w:numPr>
        <w:tabs>
          <w:tab w:val="left" w:pos="686"/>
          <w:tab w:val="left" w:pos="687"/>
        </w:tabs>
        <w:autoSpaceDE w:val="0"/>
        <w:autoSpaceDN w:val="0"/>
        <w:spacing w:after="0" w:line="266" w:lineRule="exact"/>
        <w:ind w:right="346"/>
        <w:contextualSpacing w:val="0"/>
        <w:rPr>
          <w:rFonts w:ascii="Arial" w:hAnsi="Arial" w:cs="Arial"/>
        </w:rPr>
      </w:pPr>
      <w:r w:rsidRPr="00A702FC">
        <w:rPr>
          <w:rFonts w:ascii="Arial" w:hAnsi="Arial" w:cs="Arial"/>
        </w:rPr>
        <w:t>Priority setting: managing individual funding requests</w:t>
      </w:r>
    </w:p>
    <w:p w14:paraId="06FA6167" w14:textId="77777777" w:rsidR="00877B92" w:rsidRPr="00A702FC" w:rsidRDefault="00877B92" w:rsidP="00877B92">
      <w:pPr>
        <w:pStyle w:val="ListParagraph"/>
        <w:widowControl w:val="0"/>
        <w:tabs>
          <w:tab w:val="left" w:pos="686"/>
          <w:tab w:val="left" w:pos="687"/>
        </w:tabs>
        <w:autoSpaceDE w:val="0"/>
        <w:autoSpaceDN w:val="0"/>
        <w:spacing w:after="0" w:line="266" w:lineRule="exact"/>
        <w:ind w:left="1800" w:right="346"/>
        <w:contextualSpacing w:val="0"/>
        <w:rPr>
          <w:rFonts w:ascii="Arial" w:hAnsi="Arial" w:cs="Arial"/>
        </w:rPr>
      </w:pPr>
    </w:p>
    <w:p w14:paraId="5B631850" w14:textId="40222FFD" w:rsidR="00877B92" w:rsidRPr="00877B92" w:rsidRDefault="007D4B74" w:rsidP="002B0A60">
      <w:pPr>
        <w:tabs>
          <w:tab w:val="left" w:pos="686"/>
          <w:tab w:val="left" w:pos="687"/>
        </w:tabs>
        <w:spacing w:line="266" w:lineRule="exact"/>
        <w:ind w:right="346"/>
        <w:rPr>
          <w:b/>
          <w:bCs/>
          <w:u w:val="single"/>
        </w:rPr>
      </w:pPr>
      <w:hyperlink r:id="rId25" w:history="1">
        <w:r w:rsidR="00877B92" w:rsidRPr="00A702FC">
          <w:rPr>
            <w:rStyle w:val="Hyperlink"/>
            <w:rFonts w:ascii="Arial" w:hAnsi="Arial" w:cs="Arial"/>
          </w:rPr>
          <w:t>http://www.nhsconfed.org/resources/2008/12/priority-setting-an-overview</w:t>
        </w:r>
      </w:hyperlink>
    </w:p>
    <w:sectPr w:rsidR="00877B92" w:rsidRPr="00877B92">
      <w:headerReference w:type="even" r:id="rId26"/>
      <w:headerReference w:type="default" r:id="rId27"/>
      <w:footerReference w:type="default" r:id="rId28"/>
      <w:head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85370" w14:textId="77777777" w:rsidR="00855F90" w:rsidRDefault="00855F90" w:rsidP="00F40988">
      <w:pPr>
        <w:spacing w:after="0" w:line="240" w:lineRule="auto"/>
      </w:pPr>
      <w:r>
        <w:separator/>
      </w:r>
    </w:p>
  </w:endnote>
  <w:endnote w:type="continuationSeparator" w:id="0">
    <w:p w14:paraId="3DA42966" w14:textId="77777777" w:rsidR="00855F90" w:rsidRDefault="00855F90" w:rsidP="00F4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710084"/>
      <w:docPartObj>
        <w:docPartGallery w:val="Page Numbers (Bottom of Page)"/>
        <w:docPartUnique/>
      </w:docPartObj>
    </w:sdtPr>
    <w:sdtEndPr>
      <w:rPr>
        <w:noProof/>
      </w:rPr>
    </w:sdtEndPr>
    <w:sdtContent>
      <w:p w14:paraId="56BE311C" w14:textId="77777777" w:rsidR="00BB1343" w:rsidRDefault="00BB1343">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596ED4AA" w14:textId="21AA6D41" w:rsidR="00BB1343" w:rsidRDefault="00BD2A97">
    <w:pPr>
      <w:pStyle w:val="Footer"/>
    </w:pPr>
    <w: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8519" w14:textId="77777777" w:rsidR="00855F90" w:rsidRDefault="00855F90" w:rsidP="00F40988">
      <w:pPr>
        <w:spacing w:after="0" w:line="240" w:lineRule="auto"/>
      </w:pPr>
      <w:r>
        <w:separator/>
      </w:r>
    </w:p>
  </w:footnote>
  <w:footnote w:type="continuationSeparator" w:id="0">
    <w:p w14:paraId="0E439983" w14:textId="77777777" w:rsidR="00855F90" w:rsidRDefault="00855F90" w:rsidP="00F40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E77E" w14:textId="77777777" w:rsidR="00BB1343" w:rsidRDefault="007D4B74">
    <w:pPr>
      <w:pStyle w:val="Header"/>
    </w:pPr>
    <w:r>
      <w:rPr>
        <w:noProof/>
      </w:rPr>
      <w:pict w14:anchorId="4E3924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212954"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E1BC" w14:textId="195FA385" w:rsidR="00BB1343" w:rsidRDefault="007D4B74">
    <w:pPr>
      <w:pStyle w:val="Header"/>
    </w:pPr>
    <w:r>
      <w:rPr>
        <w:noProof/>
      </w:rPr>
      <w:pict w14:anchorId="01270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212955"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BD2A97">
      <w:tab/>
    </w:r>
    <w:r w:rsidR="00BD2A97">
      <w:tab/>
    </w:r>
    <w:r w:rsidR="00BD2A97">
      <w:rPr>
        <w:noProof/>
      </w:rPr>
      <w:drawing>
        <wp:inline distT="0" distB="0" distL="0" distR="0" wp14:anchorId="0510E216" wp14:editId="73BE2561">
          <wp:extent cx="21082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2992" w14:textId="77777777" w:rsidR="00BB1343" w:rsidRDefault="007D4B74">
    <w:pPr>
      <w:pStyle w:val="Header"/>
    </w:pPr>
    <w:r>
      <w:rPr>
        <w:noProof/>
      </w:rPr>
      <w:pict w14:anchorId="514D96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212953"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ADD"/>
    <w:multiLevelType w:val="multilevel"/>
    <w:tmpl w:val="D20006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12041E"/>
    <w:multiLevelType w:val="hybridMultilevel"/>
    <w:tmpl w:val="4FDC21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4D4C83"/>
    <w:multiLevelType w:val="hybridMultilevel"/>
    <w:tmpl w:val="7A8CEAD0"/>
    <w:lvl w:ilvl="0" w:tplc="08090001">
      <w:start w:val="1"/>
      <w:numFmt w:val="bullet"/>
      <w:lvlText w:val=""/>
      <w:lvlJc w:val="left"/>
      <w:pPr>
        <w:ind w:left="1332" w:hanging="360"/>
      </w:pPr>
      <w:rPr>
        <w:rFonts w:ascii="Symbol" w:hAnsi="Symbol" w:hint="default"/>
      </w:rPr>
    </w:lvl>
    <w:lvl w:ilvl="1" w:tplc="08090003">
      <w:start w:val="1"/>
      <w:numFmt w:val="bullet"/>
      <w:lvlText w:val="o"/>
      <w:lvlJc w:val="left"/>
      <w:pPr>
        <w:ind w:left="2052" w:hanging="360"/>
      </w:pPr>
      <w:rPr>
        <w:rFonts w:ascii="Courier New" w:hAnsi="Courier New" w:cs="Courier New" w:hint="default"/>
      </w:rPr>
    </w:lvl>
    <w:lvl w:ilvl="2" w:tplc="08090005">
      <w:start w:val="1"/>
      <w:numFmt w:val="bullet"/>
      <w:lvlText w:val=""/>
      <w:lvlJc w:val="left"/>
      <w:pPr>
        <w:ind w:left="2772" w:hanging="360"/>
      </w:pPr>
      <w:rPr>
        <w:rFonts w:ascii="Wingdings" w:hAnsi="Wingdings" w:hint="default"/>
      </w:rPr>
    </w:lvl>
    <w:lvl w:ilvl="3" w:tplc="08090001">
      <w:start w:val="1"/>
      <w:numFmt w:val="bullet"/>
      <w:lvlText w:val=""/>
      <w:lvlJc w:val="left"/>
      <w:pPr>
        <w:ind w:left="3492" w:hanging="360"/>
      </w:pPr>
      <w:rPr>
        <w:rFonts w:ascii="Symbol" w:hAnsi="Symbol" w:hint="default"/>
      </w:rPr>
    </w:lvl>
    <w:lvl w:ilvl="4" w:tplc="08090003">
      <w:start w:val="1"/>
      <w:numFmt w:val="bullet"/>
      <w:lvlText w:val="o"/>
      <w:lvlJc w:val="left"/>
      <w:pPr>
        <w:ind w:left="4212" w:hanging="360"/>
      </w:pPr>
      <w:rPr>
        <w:rFonts w:ascii="Courier New" w:hAnsi="Courier New" w:cs="Courier New" w:hint="default"/>
      </w:rPr>
    </w:lvl>
    <w:lvl w:ilvl="5" w:tplc="08090005">
      <w:start w:val="1"/>
      <w:numFmt w:val="bullet"/>
      <w:lvlText w:val=""/>
      <w:lvlJc w:val="left"/>
      <w:pPr>
        <w:ind w:left="4932" w:hanging="360"/>
      </w:pPr>
      <w:rPr>
        <w:rFonts w:ascii="Wingdings" w:hAnsi="Wingdings" w:hint="default"/>
      </w:rPr>
    </w:lvl>
    <w:lvl w:ilvl="6" w:tplc="08090001">
      <w:start w:val="1"/>
      <w:numFmt w:val="bullet"/>
      <w:lvlText w:val=""/>
      <w:lvlJc w:val="left"/>
      <w:pPr>
        <w:ind w:left="5652" w:hanging="360"/>
      </w:pPr>
      <w:rPr>
        <w:rFonts w:ascii="Symbol" w:hAnsi="Symbol" w:hint="default"/>
      </w:rPr>
    </w:lvl>
    <w:lvl w:ilvl="7" w:tplc="08090003">
      <w:start w:val="1"/>
      <w:numFmt w:val="bullet"/>
      <w:lvlText w:val="o"/>
      <w:lvlJc w:val="left"/>
      <w:pPr>
        <w:ind w:left="6372" w:hanging="360"/>
      </w:pPr>
      <w:rPr>
        <w:rFonts w:ascii="Courier New" w:hAnsi="Courier New" w:cs="Courier New" w:hint="default"/>
      </w:rPr>
    </w:lvl>
    <w:lvl w:ilvl="8" w:tplc="08090005">
      <w:start w:val="1"/>
      <w:numFmt w:val="bullet"/>
      <w:lvlText w:val=""/>
      <w:lvlJc w:val="left"/>
      <w:pPr>
        <w:ind w:left="7092" w:hanging="360"/>
      </w:pPr>
      <w:rPr>
        <w:rFonts w:ascii="Wingdings" w:hAnsi="Wingdings" w:hint="default"/>
      </w:rPr>
    </w:lvl>
  </w:abstractNum>
  <w:abstractNum w:abstractNumId="3" w15:restartNumberingAfterBreak="0">
    <w:nsid w:val="0BDB0EC2"/>
    <w:multiLevelType w:val="hybridMultilevel"/>
    <w:tmpl w:val="AD6C8E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5E5FC9"/>
    <w:multiLevelType w:val="hybridMultilevel"/>
    <w:tmpl w:val="6CF6AFEE"/>
    <w:lvl w:ilvl="0" w:tplc="80721A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1078D2"/>
    <w:multiLevelType w:val="hybridMultilevel"/>
    <w:tmpl w:val="5AE6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4430F"/>
    <w:multiLevelType w:val="hybridMultilevel"/>
    <w:tmpl w:val="93CE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47998"/>
    <w:multiLevelType w:val="hybridMultilevel"/>
    <w:tmpl w:val="305ED83E"/>
    <w:lvl w:ilvl="0" w:tplc="62AAB0CE">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93C75"/>
    <w:multiLevelType w:val="hybridMultilevel"/>
    <w:tmpl w:val="312E3574"/>
    <w:lvl w:ilvl="0" w:tplc="19008D3C">
      <w:start w:val="1"/>
      <w:numFmt w:val="decimal"/>
      <w:lvlText w:val="%1."/>
      <w:lvlJc w:val="left"/>
      <w:pPr>
        <w:ind w:left="460" w:hanging="360"/>
      </w:pPr>
      <w:rPr>
        <w:rFonts w:hint="default"/>
        <w:color w:val="4472C4" w:themeColor="accent5"/>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9" w15:restartNumberingAfterBreak="0">
    <w:nsid w:val="288D51C1"/>
    <w:multiLevelType w:val="hybridMultilevel"/>
    <w:tmpl w:val="6924159E"/>
    <w:lvl w:ilvl="0" w:tplc="62AAB0CE">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228"/>
    <w:multiLevelType w:val="hybridMultilevel"/>
    <w:tmpl w:val="EBD0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02639"/>
    <w:multiLevelType w:val="hybridMultilevel"/>
    <w:tmpl w:val="6FFC7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1F27C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FFC01E2"/>
    <w:multiLevelType w:val="hybridMultilevel"/>
    <w:tmpl w:val="B15ECFA2"/>
    <w:lvl w:ilvl="0" w:tplc="08090001">
      <w:start w:val="1"/>
      <w:numFmt w:val="bullet"/>
      <w:lvlText w:val=""/>
      <w:lvlJc w:val="left"/>
      <w:pPr>
        <w:ind w:left="1406" w:hanging="360"/>
      </w:pPr>
      <w:rPr>
        <w:rFonts w:ascii="Symbol" w:hAnsi="Symbol" w:hint="default"/>
      </w:rPr>
    </w:lvl>
    <w:lvl w:ilvl="1" w:tplc="08090003" w:tentative="1">
      <w:start w:val="1"/>
      <w:numFmt w:val="bullet"/>
      <w:lvlText w:val="o"/>
      <w:lvlJc w:val="left"/>
      <w:pPr>
        <w:ind w:left="2126" w:hanging="360"/>
      </w:pPr>
      <w:rPr>
        <w:rFonts w:ascii="Courier New" w:hAnsi="Courier New" w:cs="Courier New" w:hint="default"/>
      </w:rPr>
    </w:lvl>
    <w:lvl w:ilvl="2" w:tplc="08090005" w:tentative="1">
      <w:start w:val="1"/>
      <w:numFmt w:val="bullet"/>
      <w:lvlText w:val=""/>
      <w:lvlJc w:val="left"/>
      <w:pPr>
        <w:ind w:left="2846" w:hanging="360"/>
      </w:pPr>
      <w:rPr>
        <w:rFonts w:ascii="Wingdings" w:hAnsi="Wingdings" w:hint="default"/>
      </w:rPr>
    </w:lvl>
    <w:lvl w:ilvl="3" w:tplc="08090001" w:tentative="1">
      <w:start w:val="1"/>
      <w:numFmt w:val="bullet"/>
      <w:lvlText w:val=""/>
      <w:lvlJc w:val="left"/>
      <w:pPr>
        <w:ind w:left="3566" w:hanging="360"/>
      </w:pPr>
      <w:rPr>
        <w:rFonts w:ascii="Symbol" w:hAnsi="Symbol" w:hint="default"/>
      </w:rPr>
    </w:lvl>
    <w:lvl w:ilvl="4" w:tplc="08090003" w:tentative="1">
      <w:start w:val="1"/>
      <w:numFmt w:val="bullet"/>
      <w:lvlText w:val="o"/>
      <w:lvlJc w:val="left"/>
      <w:pPr>
        <w:ind w:left="4286" w:hanging="360"/>
      </w:pPr>
      <w:rPr>
        <w:rFonts w:ascii="Courier New" w:hAnsi="Courier New" w:cs="Courier New" w:hint="default"/>
      </w:rPr>
    </w:lvl>
    <w:lvl w:ilvl="5" w:tplc="08090005" w:tentative="1">
      <w:start w:val="1"/>
      <w:numFmt w:val="bullet"/>
      <w:lvlText w:val=""/>
      <w:lvlJc w:val="left"/>
      <w:pPr>
        <w:ind w:left="5006" w:hanging="360"/>
      </w:pPr>
      <w:rPr>
        <w:rFonts w:ascii="Wingdings" w:hAnsi="Wingdings" w:hint="default"/>
      </w:rPr>
    </w:lvl>
    <w:lvl w:ilvl="6" w:tplc="08090001" w:tentative="1">
      <w:start w:val="1"/>
      <w:numFmt w:val="bullet"/>
      <w:lvlText w:val=""/>
      <w:lvlJc w:val="left"/>
      <w:pPr>
        <w:ind w:left="5726" w:hanging="360"/>
      </w:pPr>
      <w:rPr>
        <w:rFonts w:ascii="Symbol" w:hAnsi="Symbol" w:hint="default"/>
      </w:rPr>
    </w:lvl>
    <w:lvl w:ilvl="7" w:tplc="08090003" w:tentative="1">
      <w:start w:val="1"/>
      <w:numFmt w:val="bullet"/>
      <w:lvlText w:val="o"/>
      <w:lvlJc w:val="left"/>
      <w:pPr>
        <w:ind w:left="6446" w:hanging="360"/>
      </w:pPr>
      <w:rPr>
        <w:rFonts w:ascii="Courier New" w:hAnsi="Courier New" w:cs="Courier New" w:hint="default"/>
      </w:rPr>
    </w:lvl>
    <w:lvl w:ilvl="8" w:tplc="08090005" w:tentative="1">
      <w:start w:val="1"/>
      <w:numFmt w:val="bullet"/>
      <w:lvlText w:val=""/>
      <w:lvlJc w:val="left"/>
      <w:pPr>
        <w:ind w:left="7166" w:hanging="360"/>
      </w:pPr>
      <w:rPr>
        <w:rFonts w:ascii="Wingdings" w:hAnsi="Wingdings" w:hint="default"/>
      </w:rPr>
    </w:lvl>
  </w:abstractNum>
  <w:abstractNum w:abstractNumId="14" w15:restartNumberingAfterBreak="0">
    <w:nsid w:val="345E3236"/>
    <w:multiLevelType w:val="hybridMultilevel"/>
    <w:tmpl w:val="0382D028"/>
    <w:lvl w:ilvl="0" w:tplc="180A7A56">
      <w:start w:val="1"/>
      <w:numFmt w:val="decimal"/>
      <w:lvlText w:val="%1."/>
      <w:lvlJc w:val="left"/>
      <w:pPr>
        <w:ind w:left="460" w:hanging="360"/>
      </w:pPr>
      <w:rPr>
        <w:rFonts w:ascii="Calibri" w:eastAsia="Calibri" w:hAnsi="Calibri" w:cs="Calibri" w:hint="default"/>
        <w:w w:val="100"/>
        <w:sz w:val="22"/>
        <w:szCs w:val="22"/>
      </w:rPr>
    </w:lvl>
    <w:lvl w:ilvl="1" w:tplc="A0869B92">
      <w:numFmt w:val="bullet"/>
      <w:lvlText w:val="•"/>
      <w:lvlJc w:val="left"/>
      <w:pPr>
        <w:ind w:left="1372" w:hanging="360"/>
      </w:pPr>
      <w:rPr>
        <w:rFonts w:hint="default"/>
      </w:rPr>
    </w:lvl>
    <w:lvl w:ilvl="2" w:tplc="DC4A8E76">
      <w:numFmt w:val="bullet"/>
      <w:lvlText w:val="•"/>
      <w:lvlJc w:val="left"/>
      <w:pPr>
        <w:ind w:left="2284" w:hanging="360"/>
      </w:pPr>
      <w:rPr>
        <w:rFonts w:hint="default"/>
      </w:rPr>
    </w:lvl>
    <w:lvl w:ilvl="3" w:tplc="CE6A57CC">
      <w:numFmt w:val="bullet"/>
      <w:lvlText w:val="•"/>
      <w:lvlJc w:val="left"/>
      <w:pPr>
        <w:ind w:left="3196" w:hanging="360"/>
      </w:pPr>
      <w:rPr>
        <w:rFonts w:hint="default"/>
      </w:rPr>
    </w:lvl>
    <w:lvl w:ilvl="4" w:tplc="BAB44556">
      <w:numFmt w:val="bullet"/>
      <w:lvlText w:val="•"/>
      <w:lvlJc w:val="left"/>
      <w:pPr>
        <w:ind w:left="4108" w:hanging="360"/>
      </w:pPr>
      <w:rPr>
        <w:rFonts w:hint="default"/>
      </w:rPr>
    </w:lvl>
    <w:lvl w:ilvl="5" w:tplc="88582C24">
      <w:numFmt w:val="bullet"/>
      <w:lvlText w:val="•"/>
      <w:lvlJc w:val="left"/>
      <w:pPr>
        <w:ind w:left="5020" w:hanging="360"/>
      </w:pPr>
      <w:rPr>
        <w:rFonts w:hint="default"/>
      </w:rPr>
    </w:lvl>
    <w:lvl w:ilvl="6" w:tplc="E9562C0C">
      <w:numFmt w:val="bullet"/>
      <w:lvlText w:val="•"/>
      <w:lvlJc w:val="left"/>
      <w:pPr>
        <w:ind w:left="5932" w:hanging="360"/>
      </w:pPr>
      <w:rPr>
        <w:rFonts w:hint="default"/>
      </w:rPr>
    </w:lvl>
    <w:lvl w:ilvl="7" w:tplc="512EAA70">
      <w:numFmt w:val="bullet"/>
      <w:lvlText w:val="•"/>
      <w:lvlJc w:val="left"/>
      <w:pPr>
        <w:ind w:left="6844" w:hanging="360"/>
      </w:pPr>
      <w:rPr>
        <w:rFonts w:hint="default"/>
      </w:rPr>
    </w:lvl>
    <w:lvl w:ilvl="8" w:tplc="0D283356">
      <w:numFmt w:val="bullet"/>
      <w:lvlText w:val="•"/>
      <w:lvlJc w:val="left"/>
      <w:pPr>
        <w:ind w:left="7756" w:hanging="360"/>
      </w:pPr>
      <w:rPr>
        <w:rFonts w:hint="default"/>
      </w:rPr>
    </w:lvl>
  </w:abstractNum>
  <w:abstractNum w:abstractNumId="15" w15:restartNumberingAfterBreak="0">
    <w:nsid w:val="433E682A"/>
    <w:multiLevelType w:val="hybridMultilevel"/>
    <w:tmpl w:val="1C86A626"/>
    <w:lvl w:ilvl="0" w:tplc="B322BBF4">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C36024"/>
    <w:multiLevelType w:val="hybridMultilevel"/>
    <w:tmpl w:val="BC024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C664B"/>
    <w:multiLevelType w:val="hybridMultilevel"/>
    <w:tmpl w:val="29D66C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004C89"/>
    <w:multiLevelType w:val="hybridMultilevel"/>
    <w:tmpl w:val="C4E082A6"/>
    <w:lvl w:ilvl="0" w:tplc="E5DE3062">
      <w:numFmt w:val="bullet"/>
      <w:lvlText w:val=""/>
      <w:lvlJc w:val="left"/>
      <w:pPr>
        <w:ind w:left="513" w:hanging="360"/>
      </w:pPr>
      <w:rPr>
        <w:rFonts w:ascii="Symbol" w:eastAsia="Symbol" w:hAnsi="Symbol" w:cs="Symbol" w:hint="default"/>
        <w:w w:val="99"/>
        <w:sz w:val="20"/>
        <w:szCs w:val="20"/>
      </w:rPr>
    </w:lvl>
    <w:lvl w:ilvl="1" w:tplc="6F2C862C">
      <w:numFmt w:val="bullet"/>
      <w:lvlText w:val="•"/>
      <w:lvlJc w:val="left"/>
      <w:pPr>
        <w:ind w:left="1176" w:hanging="360"/>
      </w:pPr>
      <w:rPr>
        <w:rFonts w:hint="default"/>
      </w:rPr>
    </w:lvl>
    <w:lvl w:ilvl="2" w:tplc="A9A83FC0">
      <w:numFmt w:val="bullet"/>
      <w:lvlText w:val="•"/>
      <w:lvlJc w:val="left"/>
      <w:pPr>
        <w:ind w:left="1832" w:hanging="360"/>
      </w:pPr>
      <w:rPr>
        <w:rFonts w:hint="default"/>
      </w:rPr>
    </w:lvl>
    <w:lvl w:ilvl="3" w:tplc="2710F8B4">
      <w:numFmt w:val="bullet"/>
      <w:lvlText w:val="•"/>
      <w:lvlJc w:val="left"/>
      <w:pPr>
        <w:ind w:left="2488" w:hanging="360"/>
      </w:pPr>
      <w:rPr>
        <w:rFonts w:hint="default"/>
      </w:rPr>
    </w:lvl>
    <w:lvl w:ilvl="4" w:tplc="C39E14D4">
      <w:numFmt w:val="bullet"/>
      <w:lvlText w:val="•"/>
      <w:lvlJc w:val="left"/>
      <w:pPr>
        <w:ind w:left="3144" w:hanging="360"/>
      </w:pPr>
      <w:rPr>
        <w:rFonts w:hint="default"/>
      </w:rPr>
    </w:lvl>
    <w:lvl w:ilvl="5" w:tplc="4FCE16EC">
      <w:numFmt w:val="bullet"/>
      <w:lvlText w:val="•"/>
      <w:lvlJc w:val="left"/>
      <w:pPr>
        <w:ind w:left="3800" w:hanging="360"/>
      </w:pPr>
      <w:rPr>
        <w:rFonts w:hint="default"/>
      </w:rPr>
    </w:lvl>
    <w:lvl w:ilvl="6" w:tplc="B70AA0FC">
      <w:numFmt w:val="bullet"/>
      <w:lvlText w:val="•"/>
      <w:lvlJc w:val="left"/>
      <w:pPr>
        <w:ind w:left="4456" w:hanging="360"/>
      </w:pPr>
      <w:rPr>
        <w:rFonts w:hint="default"/>
      </w:rPr>
    </w:lvl>
    <w:lvl w:ilvl="7" w:tplc="68201632">
      <w:numFmt w:val="bullet"/>
      <w:lvlText w:val="•"/>
      <w:lvlJc w:val="left"/>
      <w:pPr>
        <w:ind w:left="5112" w:hanging="360"/>
      </w:pPr>
      <w:rPr>
        <w:rFonts w:hint="default"/>
      </w:rPr>
    </w:lvl>
    <w:lvl w:ilvl="8" w:tplc="BD5C0DDE">
      <w:numFmt w:val="bullet"/>
      <w:lvlText w:val="•"/>
      <w:lvlJc w:val="left"/>
      <w:pPr>
        <w:ind w:left="5769" w:hanging="360"/>
      </w:pPr>
      <w:rPr>
        <w:rFonts w:hint="default"/>
      </w:rPr>
    </w:lvl>
  </w:abstractNum>
  <w:abstractNum w:abstractNumId="19" w15:restartNumberingAfterBreak="0">
    <w:nsid w:val="4F541F97"/>
    <w:multiLevelType w:val="hybridMultilevel"/>
    <w:tmpl w:val="0E649202"/>
    <w:lvl w:ilvl="0" w:tplc="643A5CF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1A4647"/>
    <w:multiLevelType w:val="hybridMultilevel"/>
    <w:tmpl w:val="6906A94A"/>
    <w:lvl w:ilvl="0" w:tplc="411C481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1" w15:restartNumberingAfterBreak="0">
    <w:nsid w:val="58BF5C0D"/>
    <w:multiLevelType w:val="hybridMultilevel"/>
    <w:tmpl w:val="8154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42A3A"/>
    <w:multiLevelType w:val="hybridMultilevel"/>
    <w:tmpl w:val="B8D65D86"/>
    <w:lvl w:ilvl="0" w:tplc="A2D65A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038AC"/>
    <w:multiLevelType w:val="hybridMultilevel"/>
    <w:tmpl w:val="2F22BA26"/>
    <w:lvl w:ilvl="0" w:tplc="914E03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832B14"/>
    <w:multiLevelType w:val="hybridMultilevel"/>
    <w:tmpl w:val="BD78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4C38C4"/>
    <w:multiLevelType w:val="hybridMultilevel"/>
    <w:tmpl w:val="63CC242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6" w15:restartNumberingAfterBreak="0">
    <w:nsid w:val="7215710B"/>
    <w:multiLevelType w:val="hybridMultilevel"/>
    <w:tmpl w:val="047A0000"/>
    <w:lvl w:ilvl="0" w:tplc="882A58F4">
      <w:start w:val="10"/>
      <w:numFmt w:val="decimal"/>
      <w:lvlText w:val="%1."/>
      <w:lvlJc w:val="left"/>
      <w:pPr>
        <w:ind w:left="770" w:hanging="4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784D8A"/>
    <w:multiLevelType w:val="hybridMultilevel"/>
    <w:tmpl w:val="FE7212B8"/>
    <w:lvl w:ilvl="0" w:tplc="62AAB0CE">
      <w:numFmt w:val="bullet"/>
      <w:lvlText w:val="•"/>
      <w:lvlJc w:val="left"/>
      <w:pPr>
        <w:ind w:left="820" w:hanging="360"/>
      </w:pPr>
      <w:rPr>
        <w:rFont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77D1674F"/>
    <w:multiLevelType w:val="hybridMultilevel"/>
    <w:tmpl w:val="41E2D642"/>
    <w:lvl w:ilvl="0" w:tplc="08090001">
      <w:start w:val="1"/>
      <w:numFmt w:val="bullet"/>
      <w:lvlText w:val=""/>
      <w:lvlJc w:val="left"/>
      <w:pPr>
        <w:ind w:left="1406" w:hanging="360"/>
      </w:pPr>
      <w:rPr>
        <w:rFonts w:ascii="Symbol" w:hAnsi="Symbol" w:hint="default"/>
      </w:rPr>
    </w:lvl>
    <w:lvl w:ilvl="1" w:tplc="08090003" w:tentative="1">
      <w:start w:val="1"/>
      <w:numFmt w:val="bullet"/>
      <w:lvlText w:val="o"/>
      <w:lvlJc w:val="left"/>
      <w:pPr>
        <w:ind w:left="2126" w:hanging="360"/>
      </w:pPr>
      <w:rPr>
        <w:rFonts w:ascii="Courier New" w:hAnsi="Courier New" w:cs="Courier New" w:hint="default"/>
      </w:rPr>
    </w:lvl>
    <w:lvl w:ilvl="2" w:tplc="08090005" w:tentative="1">
      <w:start w:val="1"/>
      <w:numFmt w:val="bullet"/>
      <w:lvlText w:val=""/>
      <w:lvlJc w:val="left"/>
      <w:pPr>
        <w:ind w:left="2846" w:hanging="360"/>
      </w:pPr>
      <w:rPr>
        <w:rFonts w:ascii="Wingdings" w:hAnsi="Wingdings" w:hint="default"/>
      </w:rPr>
    </w:lvl>
    <w:lvl w:ilvl="3" w:tplc="08090001" w:tentative="1">
      <w:start w:val="1"/>
      <w:numFmt w:val="bullet"/>
      <w:lvlText w:val=""/>
      <w:lvlJc w:val="left"/>
      <w:pPr>
        <w:ind w:left="3566" w:hanging="360"/>
      </w:pPr>
      <w:rPr>
        <w:rFonts w:ascii="Symbol" w:hAnsi="Symbol" w:hint="default"/>
      </w:rPr>
    </w:lvl>
    <w:lvl w:ilvl="4" w:tplc="08090003" w:tentative="1">
      <w:start w:val="1"/>
      <w:numFmt w:val="bullet"/>
      <w:lvlText w:val="o"/>
      <w:lvlJc w:val="left"/>
      <w:pPr>
        <w:ind w:left="4286" w:hanging="360"/>
      </w:pPr>
      <w:rPr>
        <w:rFonts w:ascii="Courier New" w:hAnsi="Courier New" w:cs="Courier New" w:hint="default"/>
      </w:rPr>
    </w:lvl>
    <w:lvl w:ilvl="5" w:tplc="08090005" w:tentative="1">
      <w:start w:val="1"/>
      <w:numFmt w:val="bullet"/>
      <w:lvlText w:val=""/>
      <w:lvlJc w:val="left"/>
      <w:pPr>
        <w:ind w:left="5006" w:hanging="360"/>
      </w:pPr>
      <w:rPr>
        <w:rFonts w:ascii="Wingdings" w:hAnsi="Wingdings" w:hint="default"/>
      </w:rPr>
    </w:lvl>
    <w:lvl w:ilvl="6" w:tplc="08090001" w:tentative="1">
      <w:start w:val="1"/>
      <w:numFmt w:val="bullet"/>
      <w:lvlText w:val=""/>
      <w:lvlJc w:val="left"/>
      <w:pPr>
        <w:ind w:left="5726" w:hanging="360"/>
      </w:pPr>
      <w:rPr>
        <w:rFonts w:ascii="Symbol" w:hAnsi="Symbol" w:hint="default"/>
      </w:rPr>
    </w:lvl>
    <w:lvl w:ilvl="7" w:tplc="08090003" w:tentative="1">
      <w:start w:val="1"/>
      <w:numFmt w:val="bullet"/>
      <w:lvlText w:val="o"/>
      <w:lvlJc w:val="left"/>
      <w:pPr>
        <w:ind w:left="6446" w:hanging="360"/>
      </w:pPr>
      <w:rPr>
        <w:rFonts w:ascii="Courier New" w:hAnsi="Courier New" w:cs="Courier New" w:hint="default"/>
      </w:rPr>
    </w:lvl>
    <w:lvl w:ilvl="8" w:tplc="08090005" w:tentative="1">
      <w:start w:val="1"/>
      <w:numFmt w:val="bullet"/>
      <w:lvlText w:val=""/>
      <w:lvlJc w:val="left"/>
      <w:pPr>
        <w:ind w:left="7166" w:hanging="360"/>
      </w:pPr>
      <w:rPr>
        <w:rFonts w:ascii="Wingdings" w:hAnsi="Wingdings" w:hint="default"/>
      </w:rPr>
    </w:lvl>
  </w:abstractNum>
  <w:abstractNum w:abstractNumId="29" w15:restartNumberingAfterBreak="0">
    <w:nsid w:val="7DD65348"/>
    <w:multiLevelType w:val="hybridMultilevel"/>
    <w:tmpl w:val="8880323A"/>
    <w:lvl w:ilvl="0" w:tplc="35600DDC">
      <w:numFmt w:val="bullet"/>
      <w:lvlText w:val=""/>
      <w:lvlJc w:val="left"/>
      <w:pPr>
        <w:ind w:left="823" w:hanging="360"/>
      </w:pPr>
      <w:rPr>
        <w:rFonts w:ascii="Symbol" w:eastAsia="Symbol" w:hAnsi="Symbol" w:cs="Symbol" w:hint="default"/>
        <w:w w:val="99"/>
        <w:sz w:val="20"/>
        <w:szCs w:val="20"/>
      </w:rPr>
    </w:lvl>
    <w:lvl w:ilvl="1" w:tplc="2EA0362E">
      <w:numFmt w:val="bullet"/>
      <w:lvlText w:val="•"/>
      <w:lvlJc w:val="left"/>
      <w:pPr>
        <w:ind w:left="1446" w:hanging="360"/>
      </w:pPr>
      <w:rPr>
        <w:rFonts w:hint="default"/>
      </w:rPr>
    </w:lvl>
    <w:lvl w:ilvl="2" w:tplc="E4529AB2">
      <w:numFmt w:val="bullet"/>
      <w:lvlText w:val="•"/>
      <w:lvlJc w:val="left"/>
      <w:pPr>
        <w:ind w:left="2072" w:hanging="360"/>
      </w:pPr>
      <w:rPr>
        <w:rFonts w:hint="default"/>
      </w:rPr>
    </w:lvl>
    <w:lvl w:ilvl="3" w:tplc="30FCA0B6">
      <w:numFmt w:val="bullet"/>
      <w:lvlText w:val="•"/>
      <w:lvlJc w:val="left"/>
      <w:pPr>
        <w:ind w:left="2698" w:hanging="360"/>
      </w:pPr>
      <w:rPr>
        <w:rFonts w:hint="default"/>
      </w:rPr>
    </w:lvl>
    <w:lvl w:ilvl="4" w:tplc="D3DE7B94">
      <w:numFmt w:val="bullet"/>
      <w:lvlText w:val="•"/>
      <w:lvlJc w:val="left"/>
      <w:pPr>
        <w:ind w:left="3324" w:hanging="360"/>
      </w:pPr>
      <w:rPr>
        <w:rFonts w:hint="default"/>
      </w:rPr>
    </w:lvl>
    <w:lvl w:ilvl="5" w:tplc="65862C70">
      <w:numFmt w:val="bullet"/>
      <w:lvlText w:val="•"/>
      <w:lvlJc w:val="left"/>
      <w:pPr>
        <w:ind w:left="3950" w:hanging="360"/>
      </w:pPr>
      <w:rPr>
        <w:rFonts w:hint="default"/>
      </w:rPr>
    </w:lvl>
    <w:lvl w:ilvl="6" w:tplc="4692AE20">
      <w:numFmt w:val="bullet"/>
      <w:lvlText w:val="•"/>
      <w:lvlJc w:val="left"/>
      <w:pPr>
        <w:ind w:left="4576" w:hanging="360"/>
      </w:pPr>
      <w:rPr>
        <w:rFonts w:hint="default"/>
      </w:rPr>
    </w:lvl>
    <w:lvl w:ilvl="7" w:tplc="740C5160">
      <w:numFmt w:val="bullet"/>
      <w:lvlText w:val="•"/>
      <w:lvlJc w:val="left"/>
      <w:pPr>
        <w:ind w:left="5202" w:hanging="360"/>
      </w:pPr>
      <w:rPr>
        <w:rFonts w:hint="default"/>
      </w:rPr>
    </w:lvl>
    <w:lvl w:ilvl="8" w:tplc="64EAF7EC">
      <w:numFmt w:val="bullet"/>
      <w:lvlText w:val="•"/>
      <w:lvlJc w:val="left"/>
      <w:pPr>
        <w:ind w:left="5829" w:hanging="360"/>
      </w:pPr>
      <w:rPr>
        <w:rFonts w:hint="default"/>
      </w:rPr>
    </w:lvl>
  </w:abstractNum>
  <w:num w:numId="1" w16cid:durableId="1592541751">
    <w:abstractNumId w:val="28"/>
  </w:num>
  <w:num w:numId="2" w16cid:durableId="138815459">
    <w:abstractNumId w:val="13"/>
  </w:num>
  <w:num w:numId="3" w16cid:durableId="205532468">
    <w:abstractNumId w:val="12"/>
  </w:num>
  <w:num w:numId="4" w16cid:durableId="563102865">
    <w:abstractNumId w:val="18"/>
  </w:num>
  <w:num w:numId="5" w16cid:durableId="2142649349">
    <w:abstractNumId w:val="29"/>
  </w:num>
  <w:num w:numId="6" w16cid:durableId="1563983822">
    <w:abstractNumId w:val="14"/>
  </w:num>
  <w:num w:numId="7" w16cid:durableId="725224170">
    <w:abstractNumId w:val="9"/>
  </w:num>
  <w:num w:numId="8" w16cid:durableId="355934736">
    <w:abstractNumId w:val="7"/>
  </w:num>
  <w:num w:numId="9" w16cid:durableId="1997564788">
    <w:abstractNumId w:val="27"/>
  </w:num>
  <w:num w:numId="10" w16cid:durableId="1128861131">
    <w:abstractNumId w:val="25"/>
  </w:num>
  <w:num w:numId="11" w16cid:durableId="1396931777">
    <w:abstractNumId w:val="20"/>
  </w:num>
  <w:num w:numId="12" w16cid:durableId="392582476">
    <w:abstractNumId w:val="10"/>
  </w:num>
  <w:num w:numId="13" w16cid:durableId="1052457764">
    <w:abstractNumId w:val="16"/>
  </w:num>
  <w:num w:numId="14" w16cid:durableId="1472013579">
    <w:abstractNumId w:val="21"/>
  </w:num>
  <w:num w:numId="15" w16cid:durableId="1775588587">
    <w:abstractNumId w:val="5"/>
  </w:num>
  <w:num w:numId="16" w16cid:durableId="674454796">
    <w:abstractNumId w:val="24"/>
  </w:num>
  <w:num w:numId="17" w16cid:durableId="234973723">
    <w:abstractNumId w:val="6"/>
  </w:num>
  <w:num w:numId="18" w16cid:durableId="1396539191">
    <w:abstractNumId w:val="15"/>
  </w:num>
  <w:num w:numId="19" w16cid:durableId="981033301">
    <w:abstractNumId w:val="11"/>
  </w:num>
  <w:num w:numId="20" w16cid:durableId="559050353">
    <w:abstractNumId w:val="3"/>
  </w:num>
  <w:num w:numId="21" w16cid:durableId="1736854524">
    <w:abstractNumId w:val="19"/>
  </w:num>
  <w:num w:numId="22" w16cid:durableId="525750364">
    <w:abstractNumId w:val="8"/>
  </w:num>
  <w:num w:numId="23" w16cid:durableId="742948814">
    <w:abstractNumId w:val="23"/>
  </w:num>
  <w:num w:numId="24" w16cid:durableId="2071878821">
    <w:abstractNumId w:val="4"/>
  </w:num>
  <w:num w:numId="25" w16cid:durableId="239875721">
    <w:abstractNumId w:val="26"/>
  </w:num>
  <w:num w:numId="26" w16cid:durableId="270671281">
    <w:abstractNumId w:val="22"/>
  </w:num>
  <w:num w:numId="27" w16cid:durableId="1423257115">
    <w:abstractNumId w:val="17"/>
  </w:num>
  <w:num w:numId="28" w16cid:durableId="437674330">
    <w:abstractNumId w:val="0"/>
  </w:num>
  <w:num w:numId="29" w16cid:durableId="1284650032">
    <w:abstractNumId w:val="1"/>
  </w:num>
  <w:num w:numId="30" w16cid:durableId="718357123">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54"/>
    <w:rsid w:val="00012A2B"/>
    <w:rsid w:val="000175D9"/>
    <w:rsid w:val="000326B2"/>
    <w:rsid w:val="00033A60"/>
    <w:rsid w:val="00054B8C"/>
    <w:rsid w:val="000660E6"/>
    <w:rsid w:val="000729FA"/>
    <w:rsid w:val="00082C84"/>
    <w:rsid w:val="00085A38"/>
    <w:rsid w:val="000A397B"/>
    <w:rsid w:val="000C1AF6"/>
    <w:rsid w:val="000C6616"/>
    <w:rsid w:val="000E7969"/>
    <w:rsid w:val="000F0E55"/>
    <w:rsid w:val="00113D33"/>
    <w:rsid w:val="001140B5"/>
    <w:rsid w:val="0011416A"/>
    <w:rsid w:val="00114BE4"/>
    <w:rsid w:val="00122B3B"/>
    <w:rsid w:val="00136C4A"/>
    <w:rsid w:val="00163E83"/>
    <w:rsid w:val="00164A2E"/>
    <w:rsid w:val="00171E0C"/>
    <w:rsid w:val="00176658"/>
    <w:rsid w:val="00177924"/>
    <w:rsid w:val="00177D11"/>
    <w:rsid w:val="00185886"/>
    <w:rsid w:val="00185C22"/>
    <w:rsid w:val="00192CED"/>
    <w:rsid w:val="001A670E"/>
    <w:rsid w:val="001C4FE7"/>
    <w:rsid w:val="001D5BDB"/>
    <w:rsid w:val="001D6E8D"/>
    <w:rsid w:val="001F5C55"/>
    <w:rsid w:val="00216ED0"/>
    <w:rsid w:val="002205A1"/>
    <w:rsid w:val="002438C0"/>
    <w:rsid w:val="00255EC4"/>
    <w:rsid w:val="0026315F"/>
    <w:rsid w:val="00282278"/>
    <w:rsid w:val="0029113C"/>
    <w:rsid w:val="00294B7A"/>
    <w:rsid w:val="0029785D"/>
    <w:rsid w:val="002B0A60"/>
    <w:rsid w:val="002C3C46"/>
    <w:rsid w:val="002C59C9"/>
    <w:rsid w:val="002D3111"/>
    <w:rsid w:val="00304D78"/>
    <w:rsid w:val="003161A1"/>
    <w:rsid w:val="00317089"/>
    <w:rsid w:val="00330037"/>
    <w:rsid w:val="00336C44"/>
    <w:rsid w:val="0033710D"/>
    <w:rsid w:val="00350EA4"/>
    <w:rsid w:val="00357133"/>
    <w:rsid w:val="00357EB9"/>
    <w:rsid w:val="00360501"/>
    <w:rsid w:val="00372CAF"/>
    <w:rsid w:val="003C5C87"/>
    <w:rsid w:val="003D1452"/>
    <w:rsid w:val="003D2316"/>
    <w:rsid w:val="003E30CF"/>
    <w:rsid w:val="003E4779"/>
    <w:rsid w:val="003F62AF"/>
    <w:rsid w:val="003F7AB2"/>
    <w:rsid w:val="00400B77"/>
    <w:rsid w:val="004172AD"/>
    <w:rsid w:val="00420E8D"/>
    <w:rsid w:val="004360AA"/>
    <w:rsid w:val="00436C5A"/>
    <w:rsid w:val="0044599C"/>
    <w:rsid w:val="0044755F"/>
    <w:rsid w:val="004607EE"/>
    <w:rsid w:val="00463502"/>
    <w:rsid w:val="0046725E"/>
    <w:rsid w:val="004737D7"/>
    <w:rsid w:val="00481454"/>
    <w:rsid w:val="00494407"/>
    <w:rsid w:val="00497E50"/>
    <w:rsid w:val="004A0C3C"/>
    <w:rsid w:val="004B0AC7"/>
    <w:rsid w:val="004C0FD2"/>
    <w:rsid w:val="004C3B81"/>
    <w:rsid w:val="004F13D0"/>
    <w:rsid w:val="00516F1A"/>
    <w:rsid w:val="00521C9B"/>
    <w:rsid w:val="00531404"/>
    <w:rsid w:val="00550F9F"/>
    <w:rsid w:val="0056146A"/>
    <w:rsid w:val="00582FB5"/>
    <w:rsid w:val="00586200"/>
    <w:rsid w:val="005912C2"/>
    <w:rsid w:val="005A0609"/>
    <w:rsid w:val="005B4338"/>
    <w:rsid w:val="005C7D95"/>
    <w:rsid w:val="005E5DA0"/>
    <w:rsid w:val="005F3CB9"/>
    <w:rsid w:val="006026ED"/>
    <w:rsid w:val="00615AC2"/>
    <w:rsid w:val="00623B4D"/>
    <w:rsid w:val="006349C2"/>
    <w:rsid w:val="00635551"/>
    <w:rsid w:val="00636A94"/>
    <w:rsid w:val="0064579F"/>
    <w:rsid w:val="006504D6"/>
    <w:rsid w:val="006560A3"/>
    <w:rsid w:val="00661C04"/>
    <w:rsid w:val="00662ABB"/>
    <w:rsid w:val="00683D7C"/>
    <w:rsid w:val="00684044"/>
    <w:rsid w:val="00686BEA"/>
    <w:rsid w:val="00692A72"/>
    <w:rsid w:val="006A112D"/>
    <w:rsid w:val="006A4ADA"/>
    <w:rsid w:val="006B041C"/>
    <w:rsid w:val="006B2B95"/>
    <w:rsid w:val="006C17A5"/>
    <w:rsid w:val="006C40B4"/>
    <w:rsid w:val="006C6CE3"/>
    <w:rsid w:val="006D13CD"/>
    <w:rsid w:val="006D6B6C"/>
    <w:rsid w:val="006E0437"/>
    <w:rsid w:val="006E34EA"/>
    <w:rsid w:val="00702159"/>
    <w:rsid w:val="007034BF"/>
    <w:rsid w:val="007043E9"/>
    <w:rsid w:val="00721CEE"/>
    <w:rsid w:val="0072750F"/>
    <w:rsid w:val="007400A0"/>
    <w:rsid w:val="00740392"/>
    <w:rsid w:val="00740F7E"/>
    <w:rsid w:val="0075500C"/>
    <w:rsid w:val="007629F9"/>
    <w:rsid w:val="00766462"/>
    <w:rsid w:val="00790D3F"/>
    <w:rsid w:val="00792812"/>
    <w:rsid w:val="007D4B74"/>
    <w:rsid w:val="007E2951"/>
    <w:rsid w:val="007F7473"/>
    <w:rsid w:val="00812DF9"/>
    <w:rsid w:val="0082028C"/>
    <w:rsid w:val="008420AA"/>
    <w:rsid w:val="00852C73"/>
    <w:rsid w:val="008558A9"/>
    <w:rsid w:val="00855F90"/>
    <w:rsid w:val="00877B92"/>
    <w:rsid w:val="008B5175"/>
    <w:rsid w:val="008D49C0"/>
    <w:rsid w:val="008E26FE"/>
    <w:rsid w:val="008F6716"/>
    <w:rsid w:val="0091315C"/>
    <w:rsid w:val="00924668"/>
    <w:rsid w:val="00930617"/>
    <w:rsid w:val="00932C30"/>
    <w:rsid w:val="00935DB6"/>
    <w:rsid w:val="0095661C"/>
    <w:rsid w:val="00960EDD"/>
    <w:rsid w:val="0097206E"/>
    <w:rsid w:val="00974D8A"/>
    <w:rsid w:val="00974E8A"/>
    <w:rsid w:val="0099521D"/>
    <w:rsid w:val="009A3353"/>
    <w:rsid w:val="009A5324"/>
    <w:rsid w:val="009A757B"/>
    <w:rsid w:val="009B498A"/>
    <w:rsid w:val="009B610D"/>
    <w:rsid w:val="009C499C"/>
    <w:rsid w:val="009C4B83"/>
    <w:rsid w:val="009F1872"/>
    <w:rsid w:val="009F4548"/>
    <w:rsid w:val="009F51E9"/>
    <w:rsid w:val="009F6533"/>
    <w:rsid w:val="00A1300C"/>
    <w:rsid w:val="00A4690B"/>
    <w:rsid w:val="00A47D57"/>
    <w:rsid w:val="00A53F3C"/>
    <w:rsid w:val="00A56716"/>
    <w:rsid w:val="00A62B35"/>
    <w:rsid w:val="00A702FC"/>
    <w:rsid w:val="00A70C7D"/>
    <w:rsid w:val="00A71ACC"/>
    <w:rsid w:val="00A8608B"/>
    <w:rsid w:val="00A916FC"/>
    <w:rsid w:val="00AD151A"/>
    <w:rsid w:val="00AD34CC"/>
    <w:rsid w:val="00AD73C7"/>
    <w:rsid w:val="00AF2A76"/>
    <w:rsid w:val="00B03D72"/>
    <w:rsid w:val="00B055A5"/>
    <w:rsid w:val="00B16897"/>
    <w:rsid w:val="00B56876"/>
    <w:rsid w:val="00B6042F"/>
    <w:rsid w:val="00B64646"/>
    <w:rsid w:val="00B749B9"/>
    <w:rsid w:val="00B7688E"/>
    <w:rsid w:val="00B8100C"/>
    <w:rsid w:val="00B83B20"/>
    <w:rsid w:val="00B84484"/>
    <w:rsid w:val="00B93161"/>
    <w:rsid w:val="00B95320"/>
    <w:rsid w:val="00B95FFC"/>
    <w:rsid w:val="00BB086D"/>
    <w:rsid w:val="00BB1343"/>
    <w:rsid w:val="00BB1D1F"/>
    <w:rsid w:val="00BB32D8"/>
    <w:rsid w:val="00BB63E5"/>
    <w:rsid w:val="00BB6C94"/>
    <w:rsid w:val="00BD2A97"/>
    <w:rsid w:val="00BD4426"/>
    <w:rsid w:val="00BD6017"/>
    <w:rsid w:val="00BF701A"/>
    <w:rsid w:val="00C013A2"/>
    <w:rsid w:val="00C03653"/>
    <w:rsid w:val="00C05F0B"/>
    <w:rsid w:val="00C16116"/>
    <w:rsid w:val="00C271CE"/>
    <w:rsid w:val="00C417E3"/>
    <w:rsid w:val="00C41D0D"/>
    <w:rsid w:val="00C45D81"/>
    <w:rsid w:val="00C63CC2"/>
    <w:rsid w:val="00C654A7"/>
    <w:rsid w:val="00C671D5"/>
    <w:rsid w:val="00C804D4"/>
    <w:rsid w:val="00C867BA"/>
    <w:rsid w:val="00C87CA9"/>
    <w:rsid w:val="00C91790"/>
    <w:rsid w:val="00CA11D2"/>
    <w:rsid w:val="00CD30AC"/>
    <w:rsid w:val="00D00921"/>
    <w:rsid w:val="00D00BB4"/>
    <w:rsid w:val="00D040B8"/>
    <w:rsid w:val="00D17E43"/>
    <w:rsid w:val="00D34074"/>
    <w:rsid w:val="00D40B78"/>
    <w:rsid w:val="00D44BB7"/>
    <w:rsid w:val="00D466E1"/>
    <w:rsid w:val="00D534B5"/>
    <w:rsid w:val="00D73669"/>
    <w:rsid w:val="00D92DC4"/>
    <w:rsid w:val="00D970F1"/>
    <w:rsid w:val="00DA27A3"/>
    <w:rsid w:val="00DC749B"/>
    <w:rsid w:val="00DD112B"/>
    <w:rsid w:val="00DD3D06"/>
    <w:rsid w:val="00DD4E04"/>
    <w:rsid w:val="00DD68D1"/>
    <w:rsid w:val="00DD6CF4"/>
    <w:rsid w:val="00E02C81"/>
    <w:rsid w:val="00E112D7"/>
    <w:rsid w:val="00E34411"/>
    <w:rsid w:val="00E46059"/>
    <w:rsid w:val="00E46B3A"/>
    <w:rsid w:val="00E478EA"/>
    <w:rsid w:val="00E81C0A"/>
    <w:rsid w:val="00E82B81"/>
    <w:rsid w:val="00EA2466"/>
    <w:rsid w:val="00EA44BE"/>
    <w:rsid w:val="00ED147B"/>
    <w:rsid w:val="00ED20B1"/>
    <w:rsid w:val="00ED6028"/>
    <w:rsid w:val="00EF093C"/>
    <w:rsid w:val="00EF7CEB"/>
    <w:rsid w:val="00F00EA6"/>
    <w:rsid w:val="00F14AC9"/>
    <w:rsid w:val="00F17C5B"/>
    <w:rsid w:val="00F30599"/>
    <w:rsid w:val="00F40988"/>
    <w:rsid w:val="00F46256"/>
    <w:rsid w:val="00F5353E"/>
    <w:rsid w:val="00F6496C"/>
    <w:rsid w:val="00F72B62"/>
    <w:rsid w:val="00F7462C"/>
    <w:rsid w:val="00F75DD0"/>
    <w:rsid w:val="00F84B54"/>
    <w:rsid w:val="00F878BB"/>
    <w:rsid w:val="00F95575"/>
    <w:rsid w:val="00FB5FEE"/>
    <w:rsid w:val="00FC2446"/>
    <w:rsid w:val="00FF2DB3"/>
    <w:rsid w:val="00FF4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031900"/>
  <w15:chartTrackingRefBased/>
  <w15:docId w15:val="{A5CE089E-A647-4968-A4CE-FC84A76C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59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40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4360AA"/>
    <w:pPr>
      <w:widowControl w:val="0"/>
      <w:autoSpaceDE w:val="0"/>
      <w:autoSpaceDN w:val="0"/>
      <w:spacing w:after="0" w:line="240" w:lineRule="auto"/>
      <w:ind w:left="100" w:right="98"/>
      <w:outlineLvl w:val="2"/>
    </w:pPr>
    <w:rPr>
      <w:rFonts w:ascii="Calibri" w:eastAsia="Calibri" w:hAnsi="Calibri" w:cs="Calibri"/>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454"/>
    <w:rPr>
      <w:color w:val="0563C1" w:themeColor="hyperlink"/>
      <w:u w:val="single"/>
    </w:rPr>
  </w:style>
  <w:style w:type="character" w:customStyle="1" w:styleId="Heading1Char">
    <w:name w:val="Heading 1 Char"/>
    <w:basedOn w:val="DefaultParagraphFont"/>
    <w:link w:val="Heading1"/>
    <w:uiPriority w:val="9"/>
    <w:rsid w:val="0044599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4599C"/>
    <w:pPr>
      <w:outlineLvl w:val="9"/>
    </w:pPr>
    <w:rPr>
      <w:lang w:val="en-US"/>
    </w:rPr>
  </w:style>
  <w:style w:type="paragraph" w:styleId="ListParagraph">
    <w:name w:val="List Paragraph"/>
    <w:basedOn w:val="Normal"/>
    <w:uiPriority w:val="1"/>
    <w:qFormat/>
    <w:rsid w:val="0044599C"/>
    <w:pPr>
      <w:ind w:left="720"/>
      <w:contextualSpacing/>
    </w:pPr>
  </w:style>
  <w:style w:type="paragraph" w:styleId="TOC1">
    <w:name w:val="toc 1"/>
    <w:basedOn w:val="Normal"/>
    <w:next w:val="Normal"/>
    <w:autoRedefine/>
    <w:uiPriority w:val="39"/>
    <w:unhideWhenUsed/>
    <w:rsid w:val="0044599C"/>
    <w:pPr>
      <w:spacing w:after="100"/>
    </w:pPr>
  </w:style>
  <w:style w:type="character" w:customStyle="1" w:styleId="Heading2Char">
    <w:name w:val="Heading 2 Char"/>
    <w:basedOn w:val="DefaultParagraphFont"/>
    <w:link w:val="Heading2"/>
    <w:uiPriority w:val="9"/>
    <w:rsid w:val="0068404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684044"/>
    <w:pPr>
      <w:spacing w:after="100"/>
      <w:ind w:left="220"/>
    </w:pPr>
  </w:style>
  <w:style w:type="paragraph" w:styleId="Header">
    <w:name w:val="header"/>
    <w:basedOn w:val="Normal"/>
    <w:link w:val="HeaderChar"/>
    <w:uiPriority w:val="99"/>
    <w:unhideWhenUsed/>
    <w:rsid w:val="00F40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988"/>
  </w:style>
  <w:style w:type="paragraph" w:styleId="Footer">
    <w:name w:val="footer"/>
    <w:basedOn w:val="Normal"/>
    <w:link w:val="FooterChar"/>
    <w:uiPriority w:val="99"/>
    <w:unhideWhenUsed/>
    <w:rsid w:val="00F40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988"/>
  </w:style>
  <w:style w:type="paragraph" w:styleId="BalloonText">
    <w:name w:val="Balloon Text"/>
    <w:basedOn w:val="Normal"/>
    <w:link w:val="BalloonTextChar"/>
    <w:uiPriority w:val="99"/>
    <w:semiHidden/>
    <w:unhideWhenUsed/>
    <w:rsid w:val="004B0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AC7"/>
    <w:rPr>
      <w:rFonts w:ascii="Segoe UI" w:hAnsi="Segoe UI" w:cs="Segoe UI"/>
      <w:sz w:val="18"/>
      <w:szCs w:val="18"/>
    </w:rPr>
  </w:style>
  <w:style w:type="table" w:styleId="TableGrid">
    <w:name w:val="Table Grid"/>
    <w:basedOn w:val="TableNormal"/>
    <w:uiPriority w:val="39"/>
    <w:rsid w:val="005C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360AA"/>
    <w:rPr>
      <w:rFonts w:ascii="Calibri" w:eastAsia="Calibri" w:hAnsi="Calibri" w:cs="Calibri"/>
      <w:b/>
      <w:bCs/>
      <w:i/>
      <w:sz w:val="24"/>
      <w:szCs w:val="24"/>
      <w:lang w:val="en-US"/>
    </w:rPr>
  </w:style>
  <w:style w:type="paragraph" w:styleId="BodyText">
    <w:name w:val="Body Text"/>
    <w:basedOn w:val="Normal"/>
    <w:link w:val="BodyTextChar"/>
    <w:uiPriority w:val="1"/>
    <w:qFormat/>
    <w:rsid w:val="004360AA"/>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4360AA"/>
    <w:rPr>
      <w:rFonts w:ascii="Calibri" w:eastAsia="Calibri" w:hAnsi="Calibri" w:cs="Calibri"/>
      <w:lang w:val="en-US"/>
    </w:rPr>
  </w:style>
  <w:style w:type="paragraph" w:customStyle="1" w:styleId="TableParagraph">
    <w:name w:val="Table Paragraph"/>
    <w:basedOn w:val="Normal"/>
    <w:uiPriority w:val="1"/>
    <w:qFormat/>
    <w:rsid w:val="004360AA"/>
    <w:pPr>
      <w:widowControl w:val="0"/>
      <w:autoSpaceDE w:val="0"/>
      <w:autoSpaceDN w:val="0"/>
      <w:spacing w:after="0" w:line="240" w:lineRule="auto"/>
      <w:ind w:left="103"/>
    </w:pPr>
    <w:rPr>
      <w:rFonts w:ascii="Calibri" w:eastAsia="Calibri" w:hAnsi="Calibri" w:cs="Calibri"/>
      <w:lang w:val="en-US"/>
    </w:rPr>
  </w:style>
  <w:style w:type="character" w:styleId="UnresolvedMention">
    <w:name w:val="Unresolved Mention"/>
    <w:basedOn w:val="DefaultParagraphFont"/>
    <w:uiPriority w:val="99"/>
    <w:semiHidden/>
    <w:unhideWhenUsed/>
    <w:rsid w:val="00877B92"/>
    <w:rPr>
      <w:color w:val="605E5C"/>
      <w:shd w:val="clear" w:color="auto" w:fill="E1DFDD"/>
    </w:rPr>
  </w:style>
  <w:style w:type="paragraph" w:styleId="FootnoteText">
    <w:name w:val="footnote text"/>
    <w:basedOn w:val="Normal"/>
    <w:link w:val="FootnoteTextChar"/>
    <w:uiPriority w:val="99"/>
    <w:semiHidden/>
    <w:unhideWhenUsed/>
    <w:rsid w:val="007021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159"/>
    <w:rPr>
      <w:sz w:val="20"/>
      <w:szCs w:val="20"/>
    </w:rPr>
  </w:style>
  <w:style w:type="character" w:styleId="FootnoteReference">
    <w:name w:val="footnote reference"/>
    <w:basedOn w:val="DefaultParagraphFont"/>
    <w:uiPriority w:val="99"/>
    <w:semiHidden/>
    <w:unhideWhenUsed/>
    <w:rsid w:val="00702159"/>
    <w:rPr>
      <w:vertAlign w:val="superscript"/>
    </w:rPr>
  </w:style>
  <w:style w:type="character" w:styleId="FollowedHyperlink">
    <w:name w:val="FollowedHyperlink"/>
    <w:basedOn w:val="DefaultParagraphFont"/>
    <w:uiPriority w:val="99"/>
    <w:semiHidden/>
    <w:unhideWhenUsed/>
    <w:rsid w:val="00BB32D8"/>
    <w:rPr>
      <w:color w:val="954F72" w:themeColor="followedHyperlink"/>
      <w:u w:val="single"/>
    </w:rPr>
  </w:style>
  <w:style w:type="paragraph" w:styleId="TOC3">
    <w:name w:val="toc 3"/>
    <w:basedOn w:val="Normal"/>
    <w:next w:val="Normal"/>
    <w:autoRedefine/>
    <w:uiPriority w:val="39"/>
    <w:unhideWhenUsed/>
    <w:rsid w:val="00F5353E"/>
    <w:pPr>
      <w:spacing w:after="100"/>
      <w:ind w:left="440"/>
    </w:pPr>
    <w:rPr>
      <w:rFonts w:eastAsiaTheme="minorEastAsia" w:cs="Times New Roman"/>
      <w:lang w:val="en-US"/>
    </w:rPr>
  </w:style>
  <w:style w:type="character" w:styleId="CommentReference">
    <w:name w:val="annotation reference"/>
    <w:basedOn w:val="DefaultParagraphFont"/>
    <w:uiPriority w:val="99"/>
    <w:semiHidden/>
    <w:unhideWhenUsed/>
    <w:rsid w:val="00D466E1"/>
    <w:rPr>
      <w:sz w:val="16"/>
      <w:szCs w:val="16"/>
    </w:rPr>
  </w:style>
  <w:style w:type="paragraph" w:styleId="CommentText">
    <w:name w:val="annotation text"/>
    <w:basedOn w:val="Normal"/>
    <w:link w:val="CommentTextChar"/>
    <w:uiPriority w:val="99"/>
    <w:semiHidden/>
    <w:unhideWhenUsed/>
    <w:rsid w:val="00D466E1"/>
    <w:pPr>
      <w:spacing w:line="240" w:lineRule="auto"/>
    </w:pPr>
    <w:rPr>
      <w:sz w:val="20"/>
      <w:szCs w:val="20"/>
    </w:rPr>
  </w:style>
  <w:style w:type="character" w:customStyle="1" w:styleId="CommentTextChar">
    <w:name w:val="Comment Text Char"/>
    <w:basedOn w:val="DefaultParagraphFont"/>
    <w:link w:val="CommentText"/>
    <w:uiPriority w:val="99"/>
    <w:semiHidden/>
    <w:rsid w:val="00D466E1"/>
    <w:rPr>
      <w:sz w:val="20"/>
      <w:szCs w:val="20"/>
    </w:rPr>
  </w:style>
  <w:style w:type="paragraph" w:styleId="CommentSubject">
    <w:name w:val="annotation subject"/>
    <w:basedOn w:val="CommentText"/>
    <w:next w:val="CommentText"/>
    <w:link w:val="CommentSubjectChar"/>
    <w:uiPriority w:val="99"/>
    <w:semiHidden/>
    <w:unhideWhenUsed/>
    <w:rsid w:val="00D466E1"/>
    <w:rPr>
      <w:b/>
      <w:bCs/>
    </w:rPr>
  </w:style>
  <w:style w:type="character" w:customStyle="1" w:styleId="CommentSubjectChar">
    <w:name w:val="Comment Subject Char"/>
    <w:basedOn w:val="CommentTextChar"/>
    <w:link w:val="CommentSubject"/>
    <w:uiPriority w:val="99"/>
    <w:semiHidden/>
    <w:rsid w:val="00D466E1"/>
    <w:rPr>
      <w:b/>
      <w:bCs/>
      <w:sz w:val="20"/>
      <w:szCs w:val="20"/>
    </w:rPr>
  </w:style>
  <w:style w:type="character" w:styleId="PlaceholderText">
    <w:name w:val="Placeholder Text"/>
    <w:basedOn w:val="DefaultParagraphFont"/>
    <w:uiPriority w:val="99"/>
    <w:semiHidden/>
    <w:rsid w:val="00B95F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a-decisiontools.org.uk/consent/content-sheet-involved.html" TargetMode="External"/><Relationship Id="rId18" Type="http://schemas.openxmlformats.org/officeDocument/2006/relationships/hyperlink" Target="https://www.hra.nhs.uk/planning-and-improving-research/policies-standards-legislation/uk-policy-framework-health-social-care-research/"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ebarchive.nationalarchives.gov.uk/20130107105354/http://www.dh.gov.uk/en/Researchanddevelopment/A-Z/DH_4016456" TargetMode="External"/><Relationship Id="rId7" Type="http://schemas.openxmlformats.org/officeDocument/2006/relationships/settings" Target="settings.xml"/><Relationship Id="rId12" Type="http://schemas.openxmlformats.org/officeDocument/2006/relationships/hyperlink" Target="https://www.hra.nhs.uk/" TargetMode="External"/><Relationship Id="rId17" Type="http://schemas.openxmlformats.org/officeDocument/2006/relationships/hyperlink" Target="https://www.hra.nhs.uk/planning-and-improving-research/policies-standards-legislation/uk-policy-framework-health-social-care-research/" TargetMode="External"/><Relationship Id="rId25" Type="http://schemas.openxmlformats.org/officeDocument/2006/relationships/hyperlink" Target="http://www.nhsconfed.org/resources/2008/12/priority-setting-an-overview" TargetMode="External"/><Relationship Id="rId2" Type="http://schemas.openxmlformats.org/officeDocument/2006/relationships/customXml" Target="../customXml/item2.xml"/><Relationship Id="rId16" Type="http://schemas.openxmlformats.org/officeDocument/2006/relationships/hyperlink" Target="https://www.hra.nhs.uk/planning-and-improving-research/policies-standards-legislation/uk-policy-framework-health-social-care-research/" TargetMode="External"/><Relationship Id="rId20" Type="http://schemas.openxmlformats.org/officeDocument/2006/relationships/hyperlink" Target="http://webarchive.nationalarchives.gov.uk/20130107105354/http://www.dh.gov.uk/prod_consum_dh/groups/dh_digitalassets/documents/digitalasset/dh_102098.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hr.ac.uk/researchers/collaborations-services-and-support-for-your-research/run-your-study/excess-treatment-costs.htm" TargetMode="External"/><Relationship Id="rId24" Type="http://schemas.openxmlformats.org/officeDocument/2006/relationships/hyperlink" Target="https://www.nice.org.uk" TargetMode="External"/><Relationship Id="rId5" Type="http://schemas.openxmlformats.org/officeDocument/2006/relationships/numbering" Target="numbering.xml"/><Relationship Id="rId15" Type="http://schemas.openxmlformats.org/officeDocument/2006/relationships/hyperlink" Target="https://www.nihr.ac.uk/partners-and-industry/charities/identify-research-needs.htm" TargetMode="External"/><Relationship Id="rId23" Type="http://schemas.openxmlformats.org/officeDocument/2006/relationships/hyperlink" Target="https://www.england.nhs.uk/publication/excess-treatment-costs-guidance-on-the-national-management-model-for-england/"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guidance-on-attributing-the-costs-of-health-and-social-care-research"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351182/AcoRD_Guidance_for_publication_May_2012.pdf" TargetMode="External"/><Relationship Id="rId22" Type="http://schemas.openxmlformats.org/officeDocument/2006/relationships/hyperlink" Target="https://www.gov.uk/government/publications/the-nhs-constitution-for-england"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4BD2F22988B45B921259E3F21DAC4" ma:contentTypeVersion="12" ma:contentTypeDescription="Create a new document." ma:contentTypeScope="" ma:versionID="29592213d364b45f1336b6d3a7c1b8e1">
  <xsd:schema xmlns:xsd="http://www.w3.org/2001/XMLSchema" xmlns:xs="http://www.w3.org/2001/XMLSchema" xmlns:p="http://schemas.microsoft.com/office/2006/metadata/properties" xmlns:ns2="ac48b965-cda5-4f2b-8741-e5b67d41546a" xmlns:ns3="916e71ed-7298-4838-8ba5-989d7c3f81d6" targetNamespace="http://schemas.microsoft.com/office/2006/metadata/properties" ma:root="true" ma:fieldsID="3da80509d45e35df1c2ca280c12af710" ns2:_="" ns3:_="">
    <xsd:import namespace="ac48b965-cda5-4f2b-8741-e5b67d41546a"/>
    <xsd:import namespace="916e71ed-7298-4838-8ba5-989d7c3f81d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8b965-cda5-4f2b-8741-e5b67d415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e71ed-7298-4838-8ba5-989d7c3f81d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3d5871-676d-4621-8ce3-1162027f0411}" ma:internalName="TaxCatchAll" ma:showField="CatchAllData" ma:web="916e71ed-7298-4838-8ba5-989d7c3f81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48b965-cda5-4f2b-8741-e5b67d41546a">
      <Terms xmlns="http://schemas.microsoft.com/office/infopath/2007/PartnerControls"/>
    </lcf76f155ced4ddcb4097134ff3c332f>
    <TaxCatchAll xmlns="916e71ed-7298-4838-8ba5-989d7c3f81d6" xsi:nil="true"/>
  </documentManagement>
</p:properties>
</file>

<file path=customXml/itemProps1.xml><?xml version="1.0" encoding="utf-8"?>
<ds:datastoreItem xmlns:ds="http://schemas.openxmlformats.org/officeDocument/2006/customXml" ds:itemID="{A3150405-2AC6-4F99-A5C0-413AF5653688}"/>
</file>

<file path=customXml/itemProps2.xml><?xml version="1.0" encoding="utf-8"?>
<ds:datastoreItem xmlns:ds="http://schemas.openxmlformats.org/officeDocument/2006/customXml" ds:itemID="{FDDED259-B8EC-4C32-9EBC-D21A746C29B9}">
  <ds:schemaRefs>
    <ds:schemaRef ds:uri="http://schemas.openxmlformats.org/officeDocument/2006/bibliography"/>
  </ds:schemaRefs>
</ds:datastoreItem>
</file>

<file path=customXml/itemProps3.xml><?xml version="1.0" encoding="utf-8"?>
<ds:datastoreItem xmlns:ds="http://schemas.openxmlformats.org/officeDocument/2006/customXml" ds:itemID="{2AB83D65-3B73-41D7-8C6D-18188266CC6C}">
  <ds:schemaRefs>
    <ds:schemaRef ds:uri="http://schemas.microsoft.com/sharepoint/v3/contenttype/forms"/>
  </ds:schemaRefs>
</ds:datastoreItem>
</file>

<file path=customXml/itemProps4.xml><?xml version="1.0" encoding="utf-8"?>
<ds:datastoreItem xmlns:ds="http://schemas.openxmlformats.org/officeDocument/2006/customXml" ds:itemID="{B3DBCB73-3873-4A0F-9FB4-08C01CF23C2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4394</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warnesk</dc:creator>
  <cp:keywords/>
  <dc:description/>
  <cp:lastModifiedBy>LARTER, Rachel (NHS NORFOLK AND WAVENEY ICB - 26A)</cp:lastModifiedBy>
  <cp:revision>4</cp:revision>
  <cp:lastPrinted>2018-11-09T09:30:00Z</cp:lastPrinted>
  <dcterms:created xsi:type="dcterms:W3CDTF">2023-11-14T13:19:00Z</dcterms:created>
  <dcterms:modified xsi:type="dcterms:W3CDTF">2023-11-14T14:22:00Z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0x0101009684BD2F22988B45B921259E3F21DAC4</vt:lpwstr>
  </property>
  <property fmtid="{D5CDD505-2E9C-101B-9397-08002B2CF9AE}" pid="3" name="MediaServiceImageTags">
    <vt:lpwstr/>
  </property>
</Properties>
</file>