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968A3" w14:textId="51BBF600" w:rsidR="001F2C07" w:rsidRPr="00847072" w:rsidRDefault="001F2C07" w:rsidP="001F2C07">
      <w:pPr>
        <w:rPr>
          <w:rFonts w:ascii="Arial" w:eastAsia="Calibri" w:hAnsi="Arial" w:cs="Arial"/>
        </w:rPr>
      </w:pPr>
      <w:r w:rsidRPr="00847072">
        <w:rPr>
          <w:rFonts w:ascii="Arial" w:eastAsia="Calibri" w:hAnsi="Arial" w:cs="Arial"/>
        </w:rPr>
        <w:t xml:space="preserve"> </w:t>
      </w:r>
    </w:p>
    <w:p w14:paraId="7F8FDCC6" w14:textId="77777777" w:rsidR="001F2C07" w:rsidRPr="00847072" w:rsidRDefault="001F2C07" w:rsidP="001F2C07">
      <w:pPr>
        <w:spacing w:after="218"/>
        <w:ind w:left="320"/>
        <w:rPr>
          <w:rFonts w:ascii="Arial" w:eastAsia="Calibri" w:hAnsi="Arial" w:cs="Arial"/>
        </w:rPr>
      </w:pPr>
    </w:p>
    <w:p w14:paraId="4D159489" w14:textId="77777777" w:rsidR="001F2C07" w:rsidRPr="00847072" w:rsidRDefault="001F2C07" w:rsidP="001F2C07">
      <w:pPr>
        <w:spacing w:after="218"/>
        <w:ind w:left="320"/>
        <w:rPr>
          <w:rFonts w:ascii="Arial" w:eastAsia="Calibri" w:hAnsi="Arial" w:cs="Arial"/>
        </w:rPr>
      </w:pPr>
    </w:p>
    <w:p w14:paraId="4FF0284E" w14:textId="77777777" w:rsidR="001F2C07" w:rsidRPr="00847072" w:rsidRDefault="001F2C07" w:rsidP="001F2C07">
      <w:pPr>
        <w:spacing w:after="218"/>
        <w:ind w:left="320"/>
        <w:rPr>
          <w:rFonts w:ascii="Arial" w:eastAsia="Calibri" w:hAnsi="Arial" w:cs="Arial"/>
        </w:rPr>
      </w:pPr>
    </w:p>
    <w:p w14:paraId="4B471EB0" w14:textId="77777777" w:rsidR="001F2C07" w:rsidRPr="00847072" w:rsidRDefault="001F2C07" w:rsidP="001F2C07">
      <w:pPr>
        <w:spacing w:after="218"/>
        <w:ind w:left="320"/>
        <w:jc w:val="center"/>
        <w:rPr>
          <w:rFonts w:ascii="Arial" w:hAnsi="Arial" w:cs="Arial"/>
          <w:b/>
          <w:sz w:val="52"/>
        </w:rPr>
      </w:pPr>
      <w:r w:rsidRPr="00847072">
        <w:rPr>
          <w:rFonts w:ascii="Arial" w:eastAsia="Calibri" w:hAnsi="Arial" w:cs="Arial"/>
          <w:b/>
          <w:sz w:val="48"/>
        </w:rPr>
        <w:t xml:space="preserve">Norfolk and Waveney </w:t>
      </w:r>
      <w:r>
        <w:rPr>
          <w:rFonts w:ascii="Arial" w:eastAsia="Calibri" w:hAnsi="Arial" w:cs="Arial"/>
          <w:b/>
          <w:sz w:val="48"/>
        </w:rPr>
        <w:t>ICB</w:t>
      </w:r>
    </w:p>
    <w:p w14:paraId="0271246D" w14:textId="77777777" w:rsidR="001F2C07" w:rsidRPr="00847072" w:rsidRDefault="001F2C07" w:rsidP="001F2C07">
      <w:pPr>
        <w:spacing w:after="379"/>
        <w:ind w:left="320"/>
        <w:rPr>
          <w:rFonts w:ascii="Arial" w:eastAsia="Calibri" w:hAnsi="Arial" w:cs="Arial"/>
          <w:b/>
        </w:rPr>
      </w:pPr>
      <w:r w:rsidRPr="00847072">
        <w:rPr>
          <w:rFonts w:ascii="Arial" w:eastAsia="Calibri" w:hAnsi="Arial" w:cs="Arial"/>
          <w:b/>
        </w:rPr>
        <w:t xml:space="preserve"> ________________________________________________</w:t>
      </w:r>
      <w:r>
        <w:rPr>
          <w:rFonts w:ascii="Arial" w:eastAsia="Calibri" w:hAnsi="Arial" w:cs="Arial"/>
          <w:b/>
        </w:rPr>
        <w:t>______________________</w:t>
      </w:r>
    </w:p>
    <w:p w14:paraId="498F1EF2" w14:textId="7FE4B413" w:rsidR="001F2C07" w:rsidRPr="00847072" w:rsidRDefault="001F2C07" w:rsidP="001F2C07">
      <w:pPr>
        <w:spacing w:after="71"/>
        <w:ind w:right="-28"/>
        <w:jc w:val="center"/>
        <w:rPr>
          <w:rFonts w:ascii="Arial" w:hAnsi="Arial" w:cs="Arial"/>
          <w:b/>
          <w:sz w:val="76"/>
          <w:szCs w:val="76"/>
        </w:rPr>
      </w:pPr>
      <w:r>
        <w:rPr>
          <w:rFonts w:ascii="Arial" w:hAnsi="Arial" w:cs="Arial"/>
          <w:b/>
          <w:sz w:val="76"/>
          <w:szCs w:val="76"/>
        </w:rPr>
        <w:t>Consultant to Consultant Referral Policy</w:t>
      </w:r>
    </w:p>
    <w:p w14:paraId="12A31059" w14:textId="77777777" w:rsidR="001F2C07" w:rsidRPr="00847072" w:rsidRDefault="001F2C07" w:rsidP="001F2C07">
      <w:pPr>
        <w:spacing w:after="218"/>
        <w:ind w:left="320"/>
        <w:rPr>
          <w:rFonts w:ascii="Arial" w:eastAsia="Calibri" w:hAnsi="Arial" w:cs="Arial"/>
          <w:b/>
        </w:rPr>
      </w:pPr>
      <w:r w:rsidRPr="00847072">
        <w:rPr>
          <w:rFonts w:ascii="Arial" w:eastAsia="Calibri" w:hAnsi="Arial" w:cs="Arial"/>
        </w:rPr>
        <w:t xml:space="preserve">  </w:t>
      </w:r>
      <w:r w:rsidRPr="00847072">
        <w:rPr>
          <w:rFonts w:ascii="Arial" w:eastAsia="Calibri" w:hAnsi="Arial" w:cs="Arial"/>
          <w:b/>
        </w:rPr>
        <w:t>_________________________________________________</w:t>
      </w:r>
      <w:r>
        <w:rPr>
          <w:rFonts w:ascii="Arial" w:eastAsia="Calibri" w:hAnsi="Arial" w:cs="Arial"/>
          <w:b/>
        </w:rPr>
        <w:t>_____________________</w:t>
      </w:r>
    </w:p>
    <w:p w14:paraId="14B6D610" w14:textId="77777777" w:rsidR="001F2C07" w:rsidRPr="00847072" w:rsidRDefault="001F2C07" w:rsidP="001F2C07">
      <w:pPr>
        <w:spacing w:after="218"/>
        <w:ind w:left="320"/>
        <w:rPr>
          <w:rFonts w:ascii="Arial" w:hAnsi="Arial" w:cs="Arial"/>
        </w:rPr>
      </w:pPr>
    </w:p>
    <w:p w14:paraId="453EF256" w14:textId="77777777" w:rsidR="001F2C07" w:rsidRPr="00847072" w:rsidRDefault="001F2C07" w:rsidP="001F2C07">
      <w:pPr>
        <w:spacing w:after="305"/>
        <w:ind w:left="320"/>
        <w:rPr>
          <w:rFonts w:ascii="Arial" w:hAnsi="Arial" w:cs="Arial"/>
        </w:rPr>
      </w:pPr>
      <w:r w:rsidRPr="00847072">
        <w:rPr>
          <w:rFonts w:ascii="Arial" w:eastAsia="Calibri" w:hAnsi="Arial" w:cs="Arial"/>
        </w:rPr>
        <w:t xml:space="preserve"> </w:t>
      </w:r>
    </w:p>
    <w:p w14:paraId="1AE3B4DF" w14:textId="77777777" w:rsidR="001F2C07" w:rsidRPr="00847072" w:rsidRDefault="001F2C07" w:rsidP="001F2C07">
      <w:pPr>
        <w:spacing w:after="0"/>
        <w:ind w:left="320"/>
        <w:rPr>
          <w:rFonts w:ascii="Arial" w:hAnsi="Arial" w:cs="Arial"/>
        </w:rPr>
      </w:pPr>
      <w:r w:rsidRPr="00847072">
        <w:rPr>
          <w:rFonts w:ascii="Arial" w:hAnsi="Arial" w:cs="Arial"/>
          <w:b/>
          <w:sz w:val="28"/>
        </w:rPr>
        <w:tab/>
        <w:t xml:space="preserve"> </w:t>
      </w:r>
    </w:p>
    <w:p w14:paraId="2C9E8A82" w14:textId="77777777" w:rsidR="001F2C07" w:rsidRPr="00847072" w:rsidRDefault="001F2C07" w:rsidP="001F2C07">
      <w:pPr>
        <w:rPr>
          <w:rFonts w:ascii="Arial" w:hAnsi="Arial" w:cs="Arial"/>
          <w:b/>
          <w:sz w:val="28"/>
        </w:rPr>
      </w:pPr>
      <w:r w:rsidRPr="00847072">
        <w:rPr>
          <w:rFonts w:ascii="Arial" w:hAnsi="Arial" w:cs="Arial"/>
          <w:b/>
          <w:sz w:val="28"/>
        </w:rPr>
        <w:br w:type="page"/>
      </w:r>
    </w:p>
    <w:p w14:paraId="5934593E" w14:textId="77777777" w:rsidR="001F2C07" w:rsidRPr="00847072" w:rsidRDefault="001F2C07" w:rsidP="001F2C07">
      <w:pPr>
        <w:rPr>
          <w:rFonts w:eastAsia="Calibri"/>
          <w:b/>
        </w:rPr>
      </w:pPr>
      <w:r w:rsidRPr="00847072">
        <w:rPr>
          <w:rFonts w:ascii="Arial" w:eastAsia="Calibri" w:hAnsi="Arial" w:cs="Arial"/>
          <w:b/>
        </w:rPr>
        <w:lastRenderedPageBreak/>
        <w:t>Document Control Sheet</w:t>
      </w:r>
    </w:p>
    <w:p w14:paraId="48508C52" w14:textId="5EB01BCD" w:rsidR="001F2C07" w:rsidRPr="00847072" w:rsidRDefault="001F2C07" w:rsidP="001F2C07">
      <w:pPr>
        <w:ind w:right="-326"/>
        <w:jc w:val="both"/>
        <w:rPr>
          <w:rFonts w:ascii="Arial" w:hAnsi="Arial" w:cs="Arial"/>
        </w:rPr>
      </w:pPr>
      <w:r w:rsidRPr="00847072">
        <w:rPr>
          <w:rFonts w:ascii="Arial" w:hAnsi="Arial" w:cs="Arial"/>
        </w:rPr>
        <w:t xml:space="preserve">This document can only be considered valid when viewed via the </w:t>
      </w:r>
      <w:r>
        <w:rPr>
          <w:rFonts w:ascii="Arial" w:hAnsi="Arial" w:cs="Arial"/>
        </w:rPr>
        <w:t>ICB’</w:t>
      </w:r>
      <w:r w:rsidRPr="00847072">
        <w:rPr>
          <w:rFonts w:ascii="Arial" w:hAnsi="Arial" w:cs="Arial"/>
        </w:rPr>
        <w:t xml:space="preserve">s </w:t>
      </w:r>
      <w:r w:rsidR="00691456">
        <w:rPr>
          <w:rFonts w:ascii="Arial" w:hAnsi="Arial" w:cs="Arial"/>
        </w:rPr>
        <w:t>Knowledge NoW website</w:t>
      </w:r>
      <w:r w:rsidRPr="00847072">
        <w:rPr>
          <w:rFonts w:ascii="Arial" w:hAnsi="Arial" w:cs="Arial"/>
        </w:rPr>
        <w:t xml:space="preserve">. If this document is printed into hard copy or saved to another location, you must check that the version number on your copy matches that of the one online. </w:t>
      </w:r>
    </w:p>
    <w:p w14:paraId="5523F5BD" w14:textId="77777777" w:rsidR="001F2C07" w:rsidRPr="00847072" w:rsidRDefault="001F2C07" w:rsidP="001F2C07">
      <w:pPr>
        <w:pStyle w:val="Default"/>
        <w:ind w:right="-326"/>
        <w:jc w:val="both"/>
        <w:rPr>
          <w:sz w:val="22"/>
          <w:szCs w:val="22"/>
        </w:rPr>
      </w:pPr>
      <w:r w:rsidRPr="00847072">
        <w:rPr>
          <w:sz w:val="22"/>
          <w:szCs w:val="22"/>
        </w:rPr>
        <w:t>Approved documents are valid for use after their approval date and remain in force beyond any expiry of their review date until a new version is available.</w:t>
      </w:r>
    </w:p>
    <w:p w14:paraId="5F97263B" w14:textId="77777777" w:rsidR="001F2C07" w:rsidRPr="00847072" w:rsidRDefault="001F2C07" w:rsidP="001F2C07">
      <w:pPr>
        <w:pStyle w:val="Default"/>
        <w:ind w:left="-142"/>
        <w:jc w:val="both"/>
        <w:rPr>
          <w:rFonts w:eastAsia="Calibri"/>
          <w:b/>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6868"/>
      </w:tblGrid>
      <w:tr w:rsidR="001F2C07" w:rsidRPr="00847072" w14:paraId="1042BB6F" w14:textId="77777777" w:rsidTr="00B36960">
        <w:trPr>
          <w:trHeight w:val="324"/>
        </w:trPr>
        <w:tc>
          <w:tcPr>
            <w:tcW w:w="3333" w:type="dxa"/>
          </w:tcPr>
          <w:p w14:paraId="44A285B7" w14:textId="77777777" w:rsidR="001F2C07" w:rsidRPr="00847072" w:rsidRDefault="001F2C07" w:rsidP="00B36960">
            <w:pPr>
              <w:pStyle w:val="NoSpacing"/>
              <w:ind w:left="33" w:firstLine="0"/>
              <w:rPr>
                <w:b/>
                <w:sz w:val="22"/>
              </w:rPr>
            </w:pPr>
            <w:r w:rsidRPr="00847072">
              <w:rPr>
                <w:b/>
                <w:sz w:val="22"/>
              </w:rPr>
              <w:t>Name of document</w:t>
            </w:r>
          </w:p>
        </w:tc>
        <w:tc>
          <w:tcPr>
            <w:tcW w:w="6868" w:type="dxa"/>
          </w:tcPr>
          <w:p w14:paraId="29F0A6FB" w14:textId="093C8A3A" w:rsidR="001F2C07" w:rsidRPr="005F012D" w:rsidRDefault="001F2C07" w:rsidP="00B36960">
            <w:pPr>
              <w:pStyle w:val="NoSpacing"/>
              <w:ind w:left="33" w:firstLine="0"/>
              <w:rPr>
                <w:b/>
                <w:bCs/>
                <w:sz w:val="22"/>
              </w:rPr>
            </w:pPr>
            <w:r>
              <w:rPr>
                <w:b/>
                <w:bCs/>
                <w:sz w:val="22"/>
              </w:rPr>
              <w:t>Consultant to Consultant Referral Policy</w:t>
            </w:r>
          </w:p>
        </w:tc>
      </w:tr>
      <w:tr w:rsidR="001F2C07" w:rsidRPr="00847072" w14:paraId="5731AAD6" w14:textId="77777777" w:rsidTr="00B36960">
        <w:trPr>
          <w:trHeight w:val="324"/>
        </w:trPr>
        <w:tc>
          <w:tcPr>
            <w:tcW w:w="3333" w:type="dxa"/>
          </w:tcPr>
          <w:p w14:paraId="6B1D5967" w14:textId="77777777" w:rsidR="001F2C07" w:rsidRPr="00847072" w:rsidRDefault="001F2C07" w:rsidP="00B36960">
            <w:pPr>
              <w:pStyle w:val="NoSpacing"/>
              <w:ind w:left="33" w:firstLine="0"/>
              <w:rPr>
                <w:b/>
                <w:sz w:val="22"/>
              </w:rPr>
            </w:pPr>
            <w:r w:rsidRPr="00847072">
              <w:rPr>
                <w:b/>
                <w:sz w:val="22"/>
              </w:rPr>
              <w:t>Version</w:t>
            </w:r>
          </w:p>
        </w:tc>
        <w:tc>
          <w:tcPr>
            <w:tcW w:w="6868" w:type="dxa"/>
          </w:tcPr>
          <w:p w14:paraId="5FFBBA94" w14:textId="46F88B97" w:rsidR="001F2C07" w:rsidRPr="005F012D" w:rsidRDefault="00470677" w:rsidP="00B36960">
            <w:pPr>
              <w:pStyle w:val="NoSpacing"/>
              <w:ind w:left="33" w:firstLine="0"/>
              <w:rPr>
                <w:b/>
                <w:bCs/>
                <w:sz w:val="22"/>
              </w:rPr>
            </w:pPr>
            <w:r>
              <w:rPr>
                <w:b/>
                <w:bCs/>
                <w:sz w:val="22"/>
              </w:rPr>
              <w:t>1</w:t>
            </w:r>
          </w:p>
        </w:tc>
      </w:tr>
      <w:tr w:rsidR="001F2C07" w:rsidRPr="00847072" w14:paraId="1F776244" w14:textId="77777777" w:rsidTr="00B36960">
        <w:trPr>
          <w:trHeight w:val="306"/>
        </w:trPr>
        <w:tc>
          <w:tcPr>
            <w:tcW w:w="3333" w:type="dxa"/>
          </w:tcPr>
          <w:p w14:paraId="2773C33D" w14:textId="77777777" w:rsidR="001F2C07" w:rsidRPr="00847072" w:rsidRDefault="001F2C07" w:rsidP="00B36960">
            <w:pPr>
              <w:pStyle w:val="NoSpacing"/>
              <w:ind w:left="33" w:firstLine="0"/>
              <w:rPr>
                <w:b/>
                <w:sz w:val="22"/>
              </w:rPr>
            </w:pPr>
            <w:r w:rsidRPr="00847072">
              <w:rPr>
                <w:b/>
                <w:sz w:val="22"/>
              </w:rPr>
              <w:t>Date of this version</w:t>
            </w:r>
          </w:p>
        </w:tc>
        <w:tc>
          <w:tcPr>
            <w:tcW w:w="6868" w:type="dxa"/>
          </w:tcPr>
          <w:p w14:paraId="1F15B96E" w14:textId="5167E2B2" w:rsidR="001F2C07" w:rsidRPr="005F012D" w:rsidRDefault="008709D5" w:rsidP="00B36960">
            <w:pPr>
              <w:pStyle w:val="NoSpacing"/>
              <w:ind w:left="33" w:firstLine="0"/>
              <w:rPr>
                <w:b/>
                <w:bCs/>
                <w:sz w:val="22"/>
              </w:rPr>
            </w:pPr>
            <w:r>
              <w:rPr>
                <w:b/>
                <w:bCs/>
                <w:sz w:val="22"/>
              </w:rPr>
              <w:t xml:space="preserve">December </w:t>
            </w:r>
            <w:r w:rsidR="001F2C07">
              <w:rPr>
                <w:b/>
                <w:bCs/>
                <w:sz w:val="22"/>
              </w:rPr>
              <w:t>2022</w:t>
            </w:r>
          </w:p>
        </w:tc>
      </w:tr>
      <w:tr w:rsidR="001F2C07" w:rsidRPr="00847072" w14:paraId="62A49BE8" w14:textId="77777777" w:rsidTr="00B36960">
        <w:trPr>
          <w:trHeight w:val="365"/>
        </w:trPr>
        <w:tc>
          <w:tcPr>
            <w:tcW w:w="3333" w:type="dxa"/>
          </w:tcPr>
          <w:p w14:paraId="4201921C" w14:textId="77777777" w:rsidR="001F2C07" w:rsidRPr="00847072" w:rsidRDefault="001F2C07" w:rsidP="00B36960">
            <w:pPr>
              <w:pStyle w:val="NoSpacing"/>
              <w:ind w:left="33" w:firstLine="0"/>
              <w:rPr>
                <w:b/>
                <w:sz w:val="22"/>
              </w:rPr>
            </w:pPr>
            <w:r w:rsidRPr="00847072">
              <w:rPr>
                <w:b/>
                <w:sz w:val="22"/>
              </w:rPr>
              <w:t>Produced by</w:t>
            </w:r>
          </w:p>
        </w:tc>
        <w:tc>
          <w:tcPr>
            <w:tcW w:w="6868" w:type="dxa"/>
          </w:tcPr>
          <w:p w14:paraId="514F19FB" w14:textId="440BDB44" w:rsidR="001F2C07" w:rsidRPr="00DB2EE9" w:rsidRDefault="001F2C07" w:rsidP="00B36960">
            <w:pPr>
              <w:pStyle w:val="NoSpacing"/>
              <w:ind w:left="33" w:firstLine="0"/>
              <w:rPr>
                <w:sz w:val="22"/>
                <w:highlight w:val="yellow"/>
              </w:rPr>
            </w:pPr>
            <w:r>
              <w:rPr>
                <w:sz w:val="22"/>
              </w:rPr>
              <w:t>Senior Programme Manager, Elective Care access</w:t>
            </w:r>
          </w:p>
        </w:tc>
      </w:tr>
      <w:tr w:rsidR="001F2C07" w:rsidRPr="00847072" w14:paraId="3CED12B4" w14:textId="77777777" w:rsidTr="00B36960">
        <w:trPr>
          <w:trHeight w:val="306"/>
        </w:trPr>
        <w:tc>
          <w:tcPr>
            <w:tcW w:w="3333" w:type="dxa"/>
          </w:tcPr>
          <w:p w14:paraId="5FFDF86F" w14:textId="77777777" w:rsidR="001F2C07" w:rsidRPr="00847072" w:rsidRDefault="001F2C07" w:rsidP="00B36960">
            <w:pPr>
              <w:pStyle w:val="NoSpacing"/>
              <w:ind w:left="33" w:firstLine="0"/>
              <w:rPr>
                <w:b/>
                <w:sz w:val="22"/>
              </w:rPr>
            </w:pPr>
            <w:r w:rsidRPr="00847072">
              <w:rPr>
                <w:b/>
                <w:sz w:val="22"/>
              </w:rPr>
              <w:t>What is it for?</w:t>
            </w:r>
          </w:p>
        </w:tc>
        <w:tc>
          <w:tcPr>
            <w:tcW w:w="6868" w:type="dxa"/>
          </w:tcPr>
          <w:p w14:paraId="2D309C68" w14:textId="310B37DC" w:rsidR="001F2C07" w:rsidRPr="00DB2EE9" w:rsidRDefault="001F2C07" w:rsidP="00B36960">
            <w:pPr>
              <w:pStyle w:val="NoSpacing"/>
              <w:ind w:left="33" w:firstLine="0"/>
              <w:rPr>
                <w:sz w:val="22"/>
              </w:rPr>
            </w:pPr>
            <w:r>
              <w:rPr>
                <w:sz w:val="22"/>
              </w:rPr>
              <w:t xml:space="preserve">To </w:t>
            </w:r>
            <w:r w:rsidR="007B46D8">
              <w:rPr>
                <w:sz w:val="22"/>
              </w:rPr>
              <w:t xml:space="preserve">clarify principles for </w:t>
            </w:r>
            <w:proofErr w:type="gramStart"/>
            <w:r w:rsidR="0067671E">
              <w:rPr>
                <w:sz w:val="22"/>
              </w:rPr>
              <w:t>C</w:t>
            </w:r>
            <w:r w:rsidR="007B46D8">
              <w:rPr>
                <w:sz w:val="22"/>
              </w:rPr>
              <w:t>onsultant</w:t>
            </w:r>
            <w:r w:rsidR="0067671E">
              <w:rPr>
                <w:sz w:val="22"/>
              </w:rPr>
              <w:t xml:space="preserve"> </w:t>
            </w:r>
            <w:r w:rsidR="007B46D8">
              <w:rPr>
                <w:sz w:val="22"/>
              </w:rPr>
              <w:t>to</w:t>
            </w:r>
            <w:r w:rsidR="0067671E">
              <w:rPr>
                <w:sz w:val="22"/>
              </w:rPr>
              <w:t xml:space="preserve"> C</w:t>
            </w:r>
            <w:r w:rsidR="007B46D8">
              <w:rPr>
                <w:sz w:val="22"/>
              </w:rPr>
              <w:t>onsultant</w:t>
            </w:r>
            <w:proofErr w:type="gramEnd"/>
            <w:r w:rsidR="007B46D8">
              <w:rPr>
                <w:sz w:val="22"/>
              </w:rPr>
              <w:t xml:space="preserve"> referrals </w:t>
            </w:r>
          </w:p>
        </w:tc>
      </w:tr>
      <w:tr w:rsidR="001F2C07" w:rsidRPr="00847072" w14:paraId="73F6B5B9" w14:textId="77777777" w:rsidTr="00B36960">
        <w:trPr>
          <w:trHeight w:val="324"/>
        </w:trPr>
        <w:tc>
          <w:tcPr>
            <w:tcW w:w="3333" w:type="dxa"/>
          </w:tcPr>
          <w:p w14:paraId="6DF363D2" w14:textId="77777777" w:rsidR="001F2C07" w:rsidRPr="00847072" w:rsidRDefault="001F2C07" w:rsidP="00B36960">
            <w:pPr>
              <w:pStyle w:val="NoSpacing"/>
              <w:ind w:left="33" w:firstLine="0"/>
              <w:rPr>
                <w:b/>
                <w:sz w:val="22"/>
              </w:rPr>
            </w:pPr>
            <w:r w:rsidRPr="00847072">
              <w:rPr>
                <w:b/>
                <w:sz w:val="22"/>
              </w:rPr>
              <w:t>Evidence base</w:t>
            </w:r>
          </w:p>
        </w:tc>
        <w:tc>
          <w:tcPr>
            <w:tcW w:w="6868" w:type="dxa"/>
          </w:tcPr>
          <w:p w14:paraId="2D4966BA" w14:textId="4B7FA571" w:rsidR="001F2C07" w:rsidRPr="00DB2EE9" w:rsidRDefault="001F2C07" w:rsidP="00B36960">
            <w:pPr>
              <w:pStyle w:val="NoSpacing"/>
              <w:ind w:left="33" w:firstLine="0"/>
              <w:rPr>
                <w:sz w:val="22"/>
              </w:rPr>
            </w:pPr>
          </w:p>
        </w:tc>
      </w:tr>
      <w:tr w:rsidR="001F2C07" w:rsidRPr="00847072" w14:paraId="22FFF88B" w14:textId="77777777" w:rsidTr="00B36960">
        <w:trPr>
          <w:trHeight w:val="633"/>
        </w:trPr>
        <w:tc>
          <w:tcPr>
            <w:tcW w:w="3333" w:type="dxa"/>
          </w:tcPr>
          <w:p w14:paraId="5AA67756" w14:textId="77777777" w:rsidR="001F2C07" w:rsidRPr="00847072" w:rsidRDefault="001F2C07" w:rsidP="00B36960">
            <w:pPr>
              <w:pStyle w:val="NoSpacing"/>
              <w:ind w:left="33" w:firstLine="0"/>
              <w:rPr>
                <w:b/>
                <w:sz w:val="22"/>
              </w:rPr>
            </w:pPr>
            <w:r w:rsidRPr="00847072">
              <w:rPr>
                <w:b/>
                <w:sz w:val="22"/>
              </w:rPr>
              <w:t>Who is it aimed at and which settings?</w:t>
            </w:r>
          </w:p>
        </w:tc>
        <w:tc>
          <w:tcPr>
            <w:tcW w:w="6868" w:type="dxa"/>
          </w:tcPr>
          <w:p w14:paraId="3F3D0545" w14:textId="1B611653" w:rsidR="001F2C07" w:rsidRPr="00DB2EE9" w:rsidRDefault="001F2C07" w:rsidP="00B36960">
            <w:pPr>
              <w:pStyle w:val="NoSpacing"/>
              <w:ind w:left="33" w:firstLine="0"/>
              <w:rPr>
                <w:sz w:val="22"/>
              </w:rPr>
            </w:pPr>
            <w:r>
              <w:rPr>
                <w:sz w:val="22"/>
              </w:rPr>
              <w:t>All Norfolk and Waveney system partners</w:t>
            </w:r>
            <w:r w:rsidR="007600A8">
              <w:rPr>
                <w:sz w:val="22"/>
              </w:rPr>
              <w:t xml:space="preserve"> and private providers</w:t>
            </w:r>
          </w:p>
        </w:tc>
      </w:tr>
      <w:tr w:rsidR="001F2C07" w:rsidRPr="00847072" w14:paraId="5C9F5BC9" w14:textId="77777777" w:rsidTr="00B36960">
        <w:trPr>
          <w:trHeight w:val="306"/>
        </w:trPr>
        <w:tc>
          <w:tcPr>
            <w:tcW w:w="3333" w:type="dxa"/>
          </w:tcPr>
          <w:p w14:paraId="50EEA31E" w14:textId="77777777" w:rsidR="001F2C07" w:rsidRPr="00847072" w:rsidRDefault="001F2C07" w:rsidP="00B36960">
            <w:pPr>
              <w:pStyle w:val="NoSpacing"/>
              <w:ind w:left="33" w:firstLine="0"/>
              <w:rPr>
                <w:b/>
                <w:sz w:val="22"/>
              </w:rPr>
            </w:pPr>
            <w:r w:rsidRPr="00847072">
              <w:rPr>
                <w:b/>
                <w:sz w:val="22"/>
              </w:rPr>
              <w:t>Consultation</w:t>
            </w:r>
          </w:p>
        </w:tc>
        <w:tc>
          <w:tcPr>
            <w:tcW w:w="6868" w:type="dxa"/>
          </w:tcPr>
          <w:p w14:paraId="6DF49FB2" w14:textId="331BA68A" w:rsidR="009911E1" w:rsidRPr="00DB2EE9" w:rsidRDefault="007600A8" w:rsidP="009E7244">
            <w:pPr>
              <w:pStyle w:val="NoSpacing"/>
              <w:ind w:left="33" w:firstLine="0"/>
              <w:rPr>
                <w:sz w:val="22"/>
              </w:rPr>
            </w:pPr>
            <w:r>
              <w:rPr>
                <w:sz w:val="22"/>
              </w:rPr>
              <w:t>Local Medical Committee, NNUH, QEH, JPUH</w:t>
            </w:r>
            <w:r w:rsidR="009911E1">
              <w:rPr>
                <w:sz w:val="22"/>
              </w:rPr>
              <w:t>,</w:t>
            </w:r>
          </w:p>
        </w:tc>
      </w:tr>
      <w:tr w:rsidR="001F2C07" w:rsidRPr="00847072" w14:paraId="4B0C4E7C" w14:textId="77777777" w:rsidTr="00B36960">
        <w:trPr>
          <w:trHeight w:val="324"/>
        </w:trPr>
        <w:tc>
          <w:tcPr>
            <w:tcW w:w="3333" w:type="dxa"/>
          </w:tcPr>
          <w:p w14:paraId="68910C0D" w14:textId="77777777" w:rsidR="001F2C07" w:rsidRPr="00847072" w:rsidRDefault="001F2C07" w:rsidP="00B36960">
            <w:pPr>
              <w:pStyle w:val="NoSpacing"/>
              <w:ind w:left="33" w:firstLine="0"/>
              <w:rPr>
                <w:b/>
                <w:sz w:val="22"/>
              </w:rPr>
            </w:pPr>
            <w:r w:rsidRPr="00847072">
              <w:rPr>
                <w:b/>
                <w:sz w:val="22"/>
              </w:rPr>
              <w:t>Impact Assessment:</w:t>
            </w:r>
          </w:p>
        </w:tc>
        <w:tc>
          <w:tcPr>
            <w:tcW w:w="6868" w:type="dxa"/>
          </w:tcPr>
          <w:p w14:paraId="1F884D5B" w14:textId="2DE98CA6" w:rsidR="001F2C07" w:rsidRPr="00DB2EE9" w:rsidRDefault="001F2C07" w:rsidP="00B36960">
            <w:pPr>
              <w:pStyle w:val="NoSpacing"/>
              <w:ind w:left="33" w:firstLine="0"/>
              <w:rPr>
                <w:sz w:val="22"/>
              </w:rPr>
            </w:pPr>
          </w:p>
        </w:tc>
      </w:tr>
      <w:tr w:rsidR="001F2C07" w:rsidRPr="00847072" w14:paraId="0A359562" w14:textId="77777777" w:rsidTr="00B36960">
        <w:trPr>
          <w:trHeight w:val="306"/>
        </w:trPr>
        <w:tc>
          <w:tcPr>
            <w:tcW w:w="3333" w:type="dxa"/>
          </w:tcPr>
          <w:p w14:paraId="322BCE41" w14:textId="77777777" w:rsidR="001F2C07" w:rsidRPr="00847072" w:rsidRDefault="001F2C07" w:rsidP="00B36960">
            <w:pPr>
              <w:pStyle w:val="NoSpacing"/>
              <w:ind w:left="33" w:firstLine="0"/>
              <w:rPr>
                <w:b/>
                <w:sz w:val="22"/>
              </w:rPr>
            </w:pPr>
            <w:r w:rsidRPr="00847072">
              <w:rPr>
                <w:b/>
                <w:sz w:val="22"/>
              </w:rPr>
              <w:t>Other relevant approved documents</w:t>
            </w:r>
          </w:p>
        </w:tc>
        <w:tc>
          <w:tcPr>
            <w:tcW w:w="6868" w:type="dxa"/>
          </w:tcPr>
          <w:p w14:paraId="374C6E70" w14:textId="77777777" w:rsidR="001F2C07" w:rsidRPr="00DB2EE9" w:rsidRDefault="001F2C07" w:rsidP="007600A8">
            <w:pPr>
              <w:pStyle w:val="NoSpacing"/>
              <w:ind w:left="235" w:firstLine="0"/>
              <w:rPr>
                <w:sz w:val="22"/>
              </w:rPr>
            </w:pPr>
          </w:p>
        </w:tc>
      </w:tr>
      <w:tr w:rsidR="001F2C07" w:rsidRPr="00847072" w14:paraId="2E8D20F1" w14:textId="77777777" w:rsidTr="00B36960">
        <w:trPr>
          <w:trHeight w:val="324"/>
        </w:trPr>
        <w:tc>
          <w:tcPr>
            <w:tcW w:w="3333" w:type="dxa"/>
          </w:tcPr>
          <w:p w14:paraId="44B08A26" w14:textId="77777777" w:rsidR="001F2C07" w:rsidRPr="00847072" w:rsidRDefault="001F2C07" w:rsidP="00B36960">
            <w:pPr>
              <w:pStyle w:val="NoSpacing"/>
              <w:ind w:left="33" w:firstLine="0"/>
              <w:rPr>
                <w:b/>
                <w:sz w:val="22"/>
              </w:rPr>
            </w:pPr>
            <w:r w:rsidRPr="00847072">
              <w:rPr>
                <w:b/>
                <w:sz w:val="22"/>
              </w:rPr>
              <w:t>References:</w:t>
            </w:r>
          </w:p>
        </w:tc>
        <w:tc>
          <w:tcPr>
            <w:tcW w:w="6868" w:type="dxa"/>
          </w:tcPr>
          <w:p w14:paraId="35879C8A" w14:textId="4C7335DD" w:rsidR="001F2C07" w:rsidRPr="00023C5E" w:rsidRDefault="001F2C07" w:rsidP="007600A8">
            <w:pPr>
              <w:pStyle w:val="NoSpacing"/>
              <w:ind w:left="237" w:firstLine="0"/>
            </w:pPr>
            <w:r w:rsidRPr="007E36BC">
              <w:rPr>
                <w:rFonts w:eastAsia="Times New Roman"/>
                <w:sz w:val="22"/>
              </w:rPr>
              <w:t xml:space="preserve"> </w:t>
            </w:r>
          </w:p>
        </w:tc>
      </w:tr>
      <w:tr w:rsidR="001F2C07" w:rsidRPr="00847072" w14:paraId="4C0D3409" w14:textId="77777777" w:rsidTr="00B36960">
        <w:trPr>
          <w:trHeight w:val="358"/>
        </w:trPr>
        <w:tc>
          <w:tcPr>
            <w:tcW w:w="3333" w:type="dxa"/>
          </w:tcPr>
          <w:p w14:paraId="773589F9" w14:textId="77777777" w:rsidR="001F2C07" w:rsidRPr="00847072" w:rsidRDefault="001F2C07" w:rsidP="00B36960">
            <w:pPr>
              <w:pStyle w:val="NoSpacing"/>
              <w:ind w:left="33" w:firstLine="0"/>
              <w:rPr>
                <w:b/>
                <w:sz w:val="22"/>
              </w:rPr>
            </w:pPr>
            <w:r w:rsidRPr="00847072">
              <w:rPr>
                <w:b/>
                <w:sz w:val="22"/>
              </w:rPr>
              <w:t>Monitoring and Evaluation</w:t>
            </w:r>
          </w:p>
        </w:tc>
        <w:tc>
          <w:tcPr>
            <w:tcW w:w="6868" w:type="dxa"/>
          </w:tcPr>
          <w:p w14:paraId="5BFB2026" w14:textId="77777777" w:rsidR="001F2C07" w:rsidRPr="00DB2EE9" w:rsidRDefault="001F2C07" w:rsidP="00B36960">
            <w:pPr>
              <w:pStyle w:val="NoSpacing"/>
              <w:ind w:left="33" w:firstLine="0"/>
              <w:rPr>
                <w:sz w:val="22"/>
              </w:rPr>
            </w:pPr>
          </w:p>
        </w:tc>
      </w:tr>
      <w:tr w:rsidR="001F2C07" w:rsidRPr="00847072" w14:paraId="42EA1488" w14:textId="77777777" w:rsidTr="00B36960">
        <w:trPr>
          <w:trHeight w:val="324"/>
        </w:trPr>
        <w:tc>
          <w:tcPr>
            <w:tcW w:w="3333" w:type="dxa"/>
          </w:tcPr>
          <w:p w14:paraId="31921C21" w14:textId="77777777" w:rsidR="001F2C07" w:rsidRPr="00847072" w:rsidRDefault="001F2C07" w:rsidP="00B36960">
            <w:pPr>
              <w:pStyle w:val="NoSpacing"/>
              <w:ind w:left="33" w:firstLine="0"/>
              <w:rPr>
                <w:b/>
                <w:sz w:val="22"/>
              </w:rPr>
            </w:pPr>
            <w:r w:rsidRPr="00847072">
              <w:rPr>
                <w:b/>
                <w:sz w:val="22"/>
              </w:rPr>
              <w:t>Training and competences</w:t>
            </w:r>
          </w:p>
        </w:tc>
        <w:tc>
          <w:tcPr>
            <w:tcW w:w="6868" w:type="dxa"/>
          </w:tcPr>
          <w:p w14:paraId="4D4DF62E" w14:textId="77777777" w:rsidR="001F2C07" w:rsidRPr="00DB2EE9" w:rsidRDefault="001F2C07" w:rsidP="00B36960">
            <w:pPr>
              <w:pStyle w:val="NoSpacing"/>
              <w:ind w:left="33" w:firstLine="0"/>
              <w:rPr>
                <w:sz w:val="22"/>
              </w:rPr>
            </w:pPr>
          </w:p>
        </w:tc>
      </w:tr>
      <w:tr w:rsidR="001F2C07" w:rsidRPr="00847072" w14:paraId="4E5F6CA8" w14:textId="77777777" w:rsidTr="00B36960">
        <w:trPr>
          <w:trHeight w:val="324"/>
        </w:trPr>
        <w:tc>
          <w:tcPr>
            <w:tcW w:w="3333" w:type="dxa"/>
            <w:shd w:val="clear" w:color="auto" w:fill="F2F2F2"/>
          </w:tcPr>
          <w:p w14:paraId="29228CBC" w14:textId="77777777" w:rsidR="001F2C07" w:rsidRPr="00847072" w:rsidRDefault="001F2C07" w:rsidP="00B36960">
            <w:pPr>
              <w:pStyle w:val="NoSpacing"/>
              <w:ind w:left="33" w:firstLine="0"/>
              <w:rPr>
                <w:b/>
                <w:sz w:val="22"/>
              </w:rPr>
            </w:pPr>
            <w:r w:rsidRPr="00847072">
              <w:rPr>
                <w:b/>
                <w:sz w:val="22"/>
              </w:rPr>
              <w:t>Reviewed by:</w:t>
            </w:r>
          </w:p>
        </w:tc>
        <w:tc>
          <w:tcPr>
            <w:tcW w:w="6868" w:type="dxa"/>
            <w:shd w:val="clear" w:color="auto" w:fill="F2F2F2"/>
          </w:tcPr>
          <w:p w14:paraId="2D7DCE48" w14:textId="0863234B" w:rsidR="001F2C07" w:rsidRPr="00DB2EE9" w:rsidRDefault="00157D2D" w:rsidP="00B36960">
            <w:pPr>
              <w:pStyle w:val="NoSpacing"/>
              <w:ind w:left="33" w:firstLine="0"/>
              <w:rPr>
                <w:sz w:val="22"/>
              </w:rPr>
            </w:pPr>
            <w:r>
              <w:rPr>
                <w:sz w:val="22"/>
              </w:rPr>
              <w:t>Planned Care and Medicines Management Working Group</w:t>
            </w:r>
          </w:p>
        </w:tc>
      </w:tr>
      <w:tr w:rsidR="001F2C07" w:rsidRPr="00847072" w14:paraId="2B77117D" w14:textId="77777777" w:rsidTr="00B36960">
        <w:trPr>
          <w:trHeight w:val="306"/>
        </w:trPr>
        <w:tc>
          <w:tcPr>
            <w:tcW w:w="3333" w:type="dxa"/>
            <w:tcBorders>
              <w:top w:val="single" w:sz="4" w:space="0" w:color="auto"/>
              <w:left w:val="single" w:sz="4" w:space="0" w:color="auto"/>
              <w:bottom w:val="single" w:sz="4" w:space="0" w:color="auto"/>
              <w:right w:val="single" w:sz="4" w:space="0" w:color="auto"/>
            </w:tcBorders>
            <w:shd w:val="clear" w:color="auto" w:fill="F2F2F2"/>
          </w:tcPr>
          <w:p w14:paraId="3DD85454" w14:textId="77777777" w:rsidR="001F2C07" w:rsidRPr="00847072" w:rsidRDefault="001F2C07" w:rsidP="00B36960">
            <w:pPr>
              <w:pStyle w:val="NoSpacing"/>
              <w:ind w:left="33" w:firstLine="0"/>
              <w:rPr>
                <w:b/>
                <w:sz w:val="22"/>
              </w:rPr>
            </w:pPr>
            <w:r w:rsidRPr="00847072">
              <w:rPr>
                <w:b/>
                <w:sz w:val="22"/>
              </w:rPr>
              <w:t>Approved by:</w:t>
            </w:r>
          </w:p>
        </w:tc>
        <w:tc>
          <w:tcPr>
            <w:tcW w:w="6868" w:type="dxa"/>
            <w:tcBorders>
              <w:top w:val="single" w:sz="4" w:space="0" w:color="auto"/>
              <w:left w:val="single" w:sz="4" w:space="0" w:color="auto"/>
              <w:bottom w:val="single" w:sz="4" w:space="0" w:color="auto"/>
              <w:right w:val="single" w:sz="4" w:space="0" w:color="auto"/>
            </w:tcBorders>
            <w:shd w:val="clear" w:color="auto" w:fill="F2F2F2"/>
          </w:tcPr>
          <w:p w14:paraId="2F27F88D" w14:textId="3FA46654" w:rsidR="001F2C07" w:rsidRPr="00DB2EE9" w:rsidRDefault="008709D5" w:rsidP="00B36960">
            <w:pPr>
              <w:pStyle w:val="NoSpacing"/>
              <w:ind w:left="33" w:firstLine="0"/>
              <w:rPr>
                <w:sz w:val="22"/>
              </w:rPr>
            </w:pPr>
            <w:r>
              <w:rPr>
                <w:sz w:val="22"/>
              </w:rPr>
              <w:t>Planned Care and Medicines Management Working Group</w:t>
            </w:r>
          </w:p>
        </w:tc>
      </w:tr>
      <w:tr w:rsidR="001F2C07" w:rsidRPr="00847072" w14:paraId="675286A7" w14:textId="77777777" w:rsidTr="00B36960">
        <w:trPr>
          <w:trHeight w:val="324"/>
        </w:trPr>
        <w:tc>
          <w:tcPr>
            <w:tcW w:w="3333" w:type="dxa"/>
            <w:tcBorders>
              <w:top w:val="single" w:sz="4" w:space="0" w:color="auto"/>
              <w:left w:val="single" w:sz="4" w:space="0" w:color="auto"/>
              <w:bottom w:val="single" w:sz="4" w:space="0" w:color="auto"/>
              <w:right w:val="single" w:sz="4" w:space="0" w:color="auto"/>
            </w:tcBorders>
            <w:shd w:val="clear" w:color="auto" w:fill="F2F2F2"/>
          </w:tcPr>
          <w:p w14:paraId="11E6C134" w14:textId="77777777" w:rsidR="001F2C07" w:rsidRPr="00847072" w:rsidRDefault="001F2C07" w:rsidP="00B36960">
            <w:pPr>
              <w:pStyle w:val="NoSpacing"/>
              <w:ind w:left="33" w:firstLine="0"/>
              <w:rPr>
                <w:b/>
                <w:sz w:val="22"/>
              </w:rPr>
            </w:pPr>
            <w:r w:rsidRPr="00847072">
              <w:rPr>
                <w:b/>
                <w:sz w:val="22"/>
              </w:rPr>
              <w:t>Date approved:</w:t>
            </w:r>
          </w:p>
        </w:tc>
        <w:tc>
          <w:tcPr>
            <w:tcW w:w="6868" w:type="dxa"/>
            <w:tcBorders>
              <w:top w:val="single" w:sz="4" w:space="0" w:color="auto"/>
              <w:left w:val="single" w:sz="4" w:space="0" w:color="auto"/>
              <w:bottom w:val="single" w:sz="4" w:space="0" w:color="auto"/>
              <w:right w:val="single" w:sz="4" w:space="0" w:color="auto"/>
            </w:tcBorders>
            <w:shd w:val="clear" w:color="auto" w:fill="F2F2F2"/>
          </w:tcPr>
          <w:p w14:paraId="5C8EA4BB" w14:textId="3C015ED0" w:rsidR="001F2C07" w:rsidRPr="00DB2EE9" w:rsidRDefault="0011734C" w:rsidP="00B36960">
            <w:pPr>
              <w:pStyle w:val="NoSpacing"/>
              <w:ind w:left="33" w:firstLine="0"/>
              <w:rPr>
                <w:sz w:val="22"/>
              </w:rPr>
            </w:pPr>
            <w:r>
              <w:rPr>
                <w:sz w:val="22"/>
              </w:rPr>
              <w:t>10/11/22</w:t>
            </w:r>
          </w:p>
        </w:tc>
      </w:tr>
      <w:tr w:rsidR="001F2C07" w:rsidRPr="00847072" w14:paraId="388D2191" w14:textId="77777777" w:rsidTr="00B36960">
        <w:trPr>
          <w:trHeight w:val="246"/>
        </w:trPr>
        <w:tc>
          <w:tcPr>
            <w:tcW w:w="3333" w:type="dxa"/>
            <w:tcBorders>
              <w:top w:val="single" w:sz="4" w:space="0" w:color="auto"/>
              <w:left w:val="single" w:sz="4" w:space="0" w:color="auto"/>
              <w:bottom w:val="single" w:sz="4" w:space="0" w:color="auto"/>
              <w:right w:val="single" w:sz="4" w:space="0" w:color="auto"/>
            </w:tcBorders>
            <w:shd w:val="clear" w:color="auto" w:fill="F2F2F2"/>
          </w:tcPr>
          <w:p w14:paraId="6404A402" w14:textId="77777777" w:rsidR="001F2C07" w:rsidRPr="00847072" w:rsidRDefault="001F2C07" w:rsidP="00B36960">
            <w:pPr>
              <w:pStyle w:val="NoSpacing"/>
              <w:ind w:left="33" w:firstLine="0"/>
              <w:rPr>
                <w:b/>
                <w:sz w:val="22"/>
              </w:rPr>
            </w:pPr>
            <w:r w:rsidRPr="00847072">
              <w:rPr>
                <w:b/>
                <w:sz w:val="22"/>
              </w:rPr>
              <w:t>Signed:</w:t>
            </w:r>
          </w:p>
        </w:tc>
        <w:tc>
          <w:tcPr>
            <w:tcW w:w="6868" w:type="dxa"/>
            <w:tcBorders>
              <w:top w:val="single" w:sz="4" w:space="0" w:color="auto"/>
              <w:left w:val="single" w:sz="4" w:space="0" w:color="auto"/>
              <w:bottom w:val="single" w:sz="4" w:space="0" w:color="auto"/>
              <w:right w:val="single" w:sz="4" w:space="0" w:color="auto"/>
            </w:tcBorders>
            <w:shd w:val="clear" w:color="auto" w:fill="F2F2F2"/>
          </w:tcPr>
          <w:p w14:paraId="2114DDC9" w14:textId="77777777" w:rsidR="001F2C07" w:rsidRPr="00DB2EE9" w:rsidRDefault="001F2C07" w:rsidP="00B36960">
            <w:pPr>
              <w:pStyle w:val="NoSpacing"/>
              <w:ind w:left="33" w:firstLine="0"/>
              <w:rPr>
                <w:rFonts w:eastAsia="Calibri"/>
                <w:sz w:val="22"/>
                <w:lang w:eastAsia="en-US"/>
              </w:rPr>
            </w:pPr>
          </w:p>
        </w:tc>
      </w:tr>
      <w:tr w:rsidR="001F2C07" w:rsidRPr="00847072" w14:paraId="573C5D81" w14:textId="77777777" w:rsidTr="00B36960">
        <w:trPr>
          <w:trHeight w:val="324"/>
        </w:trPr>
        <w:tc>
          <w:tcPr>
            <w:tcW w:w="3333" w:type="dxa"/>
            <w:tcBorders>
              <w:top w:val="single" w:sz="4" w:space="0" w:color="auto"/>
              <w:left w:val="single" w:sz="4" w:space="0" w:color="auto"/>
              <w:bottom w:val="single" w:sz="4" w:space="0" w:color="auto"/>
              <w:right w:val="single" w:sz="4" w:space="0" w:color="auto"/>
            </w:tcBorders>
            <w:shd w:val="clear" w:color="auto" w:fill="F2F2F2"/>
          </w:tcPr>
          <w:p w14:paraId="194D7E56" w14:textId="77777777" w:rsidR="001F2C07" w:rsidRPr="00847072" w:rsidRDefault="001F2C07" w:rsidP="00B36960">
            <w:pPr>
              <w:pStyle w:val="NoSpacing"/>
              <w:ind w:left="33" w:firstLine="0"/>
              <w:rPr>
                <w:b/>
                <w:sz w:val="22"/>
              </w:rPr>
            </w:pPr>
            <w:r w:rsidRPr="00847072">
              <w:rPr>
                <w:b/>
                <w:sz w:val="22"/>
              </w:rPr>
              <w:t>Dissemination:</w:t>
            </w:r>
          </w:p>
        </w:tc>
        <w:tc>
          <w:tcPr>
            <w:tcW w:w="6868" w:type="dxa"/>
            <w:tcBorders>
              <w:top w:val="single" w:sz="4" w:space="0" w:color="auto"/>
              <w:left w:val="single" w:sz="4" w:space="0" w:color="auto"/>
              <w:bottom w:val="single" w:sz="4" w:space="0" w:color="auto"/>
              <w:right w:val="single" w:sz="4" w:space="0" w:color="auto"/>
            </w:tcBorders>
            <w:shd w:val="clear" w:color="auto" w:fill="F2F2F2"/>
          </w:tcPr>
          <w:p w14:paraId="4CF467BB" w14:textId="6C54AC79" w:rsidR="001F2C07" w:rsidRPr="00DB2EE9" w:rsidRDefault="001F2C07" w:rsidP="00B36960">
            <w:pPr>
              <w:pStyle w:val="NoSpacing"/>
              <w:ind w:left="33" w:firstLine="0"/>
              <w:rPr>
                <w:rFonts w:eastAsia="Calibri"/>
                <w:sz w:val="22"/>
                <w:lang w:eastAsia="en-US"/>
              </w:rPr>
            </w:pPr>
          </w:p>
        </w:tc>
      </w:tr>
      <w:tr w:rsidR="001F2C07" w:rsidRPr="00847072" w14:paraId="467DB429" w14:textId="77777777" w:rsidTr="00B36960">
        <w:trPr>
          <w:trHeight w:val="306"/>
        </w:trPr>
        <w:tc>
          <w:tcPr>
            <w:tcW w:w="3333" w:type="dxa"/>
            <w:tcBorders>
              <w:top w:val="single" w:sz="4" w:space="0" w:color="auto"/>
              <w:left w:val="single" w:sz="4" w:space="0" w:color="auto"/>
              <w:bottom w:val="single" w:sz="4" w:space="0" w:color="auto"/>
              <w:right w:val="single" w:sz="4" w:space="0" w:color="auto"/>
            </w:tcBorders>
            <w:shd w:val="clear" w:color="auto" w:fill="F2F2F2"/>
          </w:tcPr>
          <w:p w14:paraId="41DBFF45" w14:textId="77777777" w:rsidR="001F2C07" w:rsidRPr="00847072" w:rsidRDefault="001F2C07" w:rsidP="00B36960">
            <w:pPr>
              <w:pStyle w:val="NoSpacing"/>
              <w:ind w:left="33" w:firstLine="0"/>
              <w:rPr>
                <w:b/>
                <w:sz w:val="22"/>
              </w:rPr>
            </w:pPr>
            <w:r w:rsidRPr="00847072">
              <w:rPr>
                <w:b/>
                <w:sz w:val="22"/>
              </w:rPr>
              <w:t>Date disseminated:</w:t>
            </w:r>
          </w:p>
        </w:tc>
        <w:tc>
          <w:tcPr>
            <w:tcW w:w="6868" w:type="dxa"/>
            <w:tcBorders>
              <w:top w:val="single" w:sz="4" w:space="0" w:color="auto"/>
              <w:left w:val="single" w:sz="4" w:space="0" w:color="auto"/>
              <w:bottom w:val="single" w:sz="4" w:space="0" w:color="auto"/>
              <w:right w:val="single" w:sz="4" w:space="0" w:color="auto"/>
            </w:tcBorders>
            <w:shd w:val="clear" w:color="auto" w:fill="F2F2F2"/>
          </w:tcPr>
          <w:p w14:paraId="2FDCD900" w14:textId="77777777" w:rsidR="001F2C07" w:rsidRPr="00DB2EE9" w:rsidRDefault="001F2C07" w:rsidP="00B36960">
            <w:pPr>
              <w:pStyle w:val="NoSpacing"/>
              <w:ind w:left="33" w:firstLine="0"/>
              <w:rPr>
                <w:rFonts w:eastAsia="Calibri"/>
                <w:sz w:val="22"/>
                <w:lang w:eastAsia="en-US"/>
              </w:rPr>
            </w:pPr>
          </w:p>
        </w:tc>
      </w:tr>
      <w:tr w:rsidR="001F2C07" w:rsidRPr="00847072" w14:paraId="0098DC33" w14:textId="77777777" w:rsidTr="00B36960">
        <w:trPr>
          <w:trHeight w:val="324"/>
        </w:trPr>
        <w:tc>
          <w:tcPr>
            <w:tcW w:w="3333" w:type="dxa"/>
            <w:tcBorders>
              <w:top w:val="single" w:sz="4" w:space="0" w:color="auto"/>
              <w:left w:val="single" w:sz="4" w:space="0" w:color="auto"/>
              <w:bottom w:val="single" w:sz="4" w:space="0" w:color="auto"/>
              <w:right w:val="single" w:sz="4" w:space="0" w:color="auto"/>
            </w:tcBorders>
            <w:shd w:val="clear" w:color="auto" w:fill="F2F2F2"/>
          </w:tcPr>
          <w:p w14:paraId="5F755698" w14:textId="77777777" w:rsidR="001F2C07" w:rsidRPr="00847072" w:rsidRDefault="001F2C07" w:rsidP="00B36960">
            <w:pPr>
              <w:pStyle w:val="NoSpacing"/>
              <w:ind w:left="33" w:firstLine="0"/>
              <w:rPr>
                <w:b/>
                <w:sz w:val="22"/>
              </w:rPr>
            </w:pPr>
            <w:r w:rsidRPr="00847072">
              <w:rPr>
                <w:b/>
                <w:sz w:val="22"/>
              </w:rPr>
              <w:t>Review Date:</w:t>
            </w:r>
          </w:p>
        </w:tc>
        <w:tc>
          <w:tcPr>
            <w:tcW w:w="6868" w:type="dxa"/>
            <w:tcBorders>
              <w:top w:val="single" w:sz="4" w:space="0" w:color="auto"/>
              <w:left w:val="single" w:sz="4" w:space="0" w:color="auto"/>
              <w:bottom w:val="single" w:sz="4" w:space="0" w:color="auto"/>
              <w:right w:val="single" w:sz="4" w:space="0" w:color="auto"/>
            </w:tcBorders>
            <w:shd w:val="clear" w:color="auto" w:fill="F2F2F2"/>
          </w:tcPr>
          <w:p w14:paraId="3387ECEC" w14:textId="07698B95" w:rsidR="001F2C07" w:rsidRPr="00DB2EE9" w:rsidRDefault="001F2C07" w:rsidP="00B36960">
            <w:pPr>
              <w:pStyle w:val="NoSpacing"/>
              <w:ind w:left="33" w:firstLine="0"/>
              <w:rPr>
                <w:rFonts w:eastAsia="Calibri"/>
                <w:sz w:val="22"/>
                <w:lang w:eastAsia="en-US"/>
              </w:rPr>
            </w:pPr>
          </w:p>
        </w:tc>
      </w:tr>
      <w:tr w:rsidR="001F2C07" w:rsidRPr="00847072" w14:paraId="789C21B4" w14:textId="77777777" w:rsidTr="00B36960">
        <w:trPr>
          <w:trHeight w:val="306"/>
        </w:trPr>
        <w:tc>
          <w:tcPr>
            <w:tcW w:w="3333" w:type="dxa"/>
            <w:tcBorders>
              <w:top w:val="single" w:sz="4" w:space="0" w:color="auto"/>
              <w:left w:val="single" w:sz="4" w:space="0" w:color="auto"/>
              <w:bottom w:val="single" w:sz="4" w:space="0" w:color="auto"/>
              <w:right w:val="single" w:sz="4" w:space="0" w:color="auto"/>
            </w:tcBorders>
          </w:tcPr>
          <w:p w14:paraId="0344486E" w14:textId="77777777" w:rsidR="001F2C07" w:rsidRPr="00847072" w:rsidRDefault="001F2C07" w:rsidP="00B36960">
            <w:pPr>
              <w:pStyle w:val="NoSpacing"/>
              <w:ind w:left="33" w:firstLine="0"/>
              <w:rPr>
                <w:b/>
                <w:sz w:val="22"/>
              </w:rPr>
            </w:pPr>
            <w:r w:rsidRPr="00847072">
              <w:rPr>
                <w:b/>
                <w:sz w:val="22"/>
              </w:rPr>
              <w:t>Contact for Review:</w:t>
            </w:r>
          </w:p>
        </w:tc>
        <w:tc>
          <w:tcPr>
            <w:tcW w:w="6868" w:type="dxa"/>
            <w:tcBorders>
              <w:top w:val="single" w:sz="4" w:space="0" w:color="auto"/>
              <w:left w:val="single" w:sz="4" w:space="0" w:color="auto"/>
              <w:bottom w:val="single" w:sz="4" w:space="0" w:color="auto"/>
              <w:right w:val="single" w:sz="4" w:space="0" w:color="auto"/>
            </w:tcBorders>
          </w:tcPr>
          <w:p w14:paraId="6D9B4467" w14:textId="771C7CB6" w:rsidR="001F2C07" w:rsidRPr="00DB2EE9" w:rsidRDefault="001F2C07" w:rsidP="00B36960">
            <w:pPr>
              <w:pStyle w:val="NoSpacing"/>
              <w:ind w:left="33" w:firstLine="0"/>
              <w:rPr>
                <w:rFonts w:eastAsia="Calibri"/>
                <w:sz w:val="22"/>
                <w:lang w:eastAsia="en-US"/>
              </w:rPr>
            </w:pPr>
          </w:p>
        </w:tc>
      </w:tr>
    </w:tbl>
    <w:p w14:paraId="18C5F8D8" w14:textId="62FF36C3" w:rsidR="00203B4C" w:rsidRDefault="00203B4C" w:rsidP="001F2C07">
      <w:pPr>
        <w:ind w:firstLine="142"/>
        <w:rPr>
          <w:rFonts w:ascii="Arial" w:eastAsia="Calibri" w:hAnsi="Arial" w:cs="Arial"/>
          <w:b/>
        </w:rPr>
      </w:pPr>
    </w:p>
    <w:p w14:paraId="73E4C13C" w14:textId="77777777" w:rsidR="00203B4C" w:rsidRDefault="00203B4C">
      <w:pPr>
        <w:rPr>
          <w:rFonts w:ascii="Arial" w:eastAsia="Calibri" w:hAnsi="Arial" w:cs="Arial"/>
          <w:b/>
        </w:rPr>
      </w:pPr>
      <w:r>
        <w:rPr>
          <w:rFonts w:ascii="Arial" w:eastAsia="Calibri" w:hAnsi="Arial" w:cs="Arial"/>
          <w:b/>
        </w:rPr>
        <w:br w:type="page"/>
      </w:r>
    </w:p>
    <w:p w14:paraId="18A73DEC" w14:textId="77777777" w:rsidR="001F2C07" w:rsidRDefault="001F2C07" w:rsidP="001F2C07">
      <w:pPr>
        <w:ind w:firstLine="142"/>
        <w:rPr>
          <w:rFonts w:ascii="Arial" w:eastAsia="Calibri" w:hAnsi="Arial" w:cs="Arial"/>
          <w:b/>
        </w:rPr>
      </w:pPr>
    </w:p>
    <w:p w14:paraId="7DE83315" w14:textId="77777777" w:rsidR="001F2C07" w:rsidRPr="00847072" w:rsidRDefault="001F2C07" w:rsidP="001F2C07">
      <w:pPr>
        <w:ind w:firstLine="142"/>
        <w:rPr>
          <w:rFonts w:ascii="Arial" w:eastAsia="Calibri" w:hAnsi="Arial" w:cs="Arial"/>
          <w:b/>
        </w:rPr>
      </w:pPr>
      <w:r w:rsidRPr="00847072">
        <w:rPr>
          <w:rFonts w:ascii="Arial" w:eastAsia="Calibri" w:hAnsi="Arial" w:cs="Arial"/>
          <w:b/>
        </w:rPr>
        <w:t>Version Control</w:t>
      </w:r>
    </w:p>
    <w:tbl>
      <w:tblPr>
        <w:tblW w:w="9385" w:type="dxa"/>
        <w:tblInd w:w="137" w:type="dxa"/>
        <w:tblBorders>
          <w:top w:val="single" w:sz="4" w:space="0" w:color="000000"/>
          <w:left w:val="single" w:sz="4"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5132"/>
        <w:gridCol w:w="1559"/>
        <w:gridCol w:w="1418"/>
      </w:tblGrid>
      <w:tr w:rsidR="001F2C07" w:rsidRPr="00847072" w14:paraId="5365B4E0" w14:textId="77777777" w:rsidTr="00B36960">
        <w:trPr>
          <w:trHeight w:val="763"/>
        </w:trPr>
        <w:tc>
          <w:tcPr>
            <w:tcW w:w="1276" w:type="dxa"/>
            <w:tcBorders>
              <w:bottom w:val="single" w:sz="4" w:space="0" w:color="000000"/>
            </w:tcBorders>
            <w:shd w:val="clear" w:color="auto" w:fill="F2F2F2"/>
          </w:tcPr>
          <w:p w14:paraId="4FFCAACF" w14:textId="77777777" w:rsidR="001F2C07" w:rsidRPr="00847072" w:rsidRDefault="001F2C07" w:rsidP="00B36960">
            <w:pPr>
              <w:ind w:left="66"/>
              <w:rPr>
                <w:rFonts w:ascii="Arial" w:hAnsi="Arial" w:cs="Arial"/>
                <w:b/>
                <w:bCs/>
              </w:rPr>
            </w:pPr>
            <w:r w:rsidRPr="00847072">
              <w:rPr>
                <w:rFonts w:ascii="Arial" w:hAnsi="Arial" w:cs="Arial"/>
                <w:b/>
              </w:rPr>
              <w:t>Revision History</w:t>
            </w:r>
          </w:p>
        </w:tc>
        <w:tc>
          <w:tcPr>
            <w:tcW w:w="5132" w:type="dxa"/>
            <w:tcBorders>
              <w:bottom w:val="single" w:sz="4" w:space="0" w:color="000000"/>
            </w:tcBorders>
            <w:shd w:val="clear" w:color="auto" w:fill="F2F2F2"/>
          </w:tcPr>
          <w:p w14:paraId="2B319C8B" w14:textId="77777777" w:rsidR="001F2C07" w:rsidRPr="00847072" w:rsidRDefault="001F2C07" w:rsidP="00B36960">
            <w:pPr>
              <w:ind w:left="66"/>
              <w:rPr>
                <w:rFonts w:ascii="Arial" w:hAnsi="Arial" w:cs="Arial"/>
                <w:b/>
                <w:bCs/>
              </w:rPr>
            </w:pPr>
            <w:r w:rsidRPr="00847072">
              <w:rPr>
                <w:rFonts w:ascii="Arial" w:hAnsi="Arial" w:cs="Arial"/>
                <w:b/>
                <w:bCs/>
              </w:rPr>
              <w:t>Summary of changes</w:t>
            </w:r>
          </w:p>
        </w:tc>
        <w:tc>
          <w:tcPr>
            <w:tcW w:w="1559" w:type="dxa"/>
            <w:tcBorders>
              <w:bottom w:val="single" w:sz="4" w:space="0" w:color="000000"/>
            </w:tcBorders>
            <w:shd w:val="clear" w:color="auto" w:fill="F2F2F2"/>
          </w:tcPr>
          <w:p w14:paraId="294F5611" w14:textId="77777777" w:rsidR="001F2C07" w:rsidRPr="00847072" w:rsidRDefault="001F2C07" w:rsidP="00B36960">
            <w:pPr>
              <w:ind w:left="66"/>
              <w:rPr>
                <w:rFonts w:ascii="Arial" w:hAnsi="Arial" w:cs="Arial"/>
                <w:b/>
                <w:bCs/>
              </w:rPr>
            </w:pPr>
            <w:r w:rsidRPr="00847072">
              <w:rPr>
                <w:rFonts w:ascii="Arial" w:hAnsi="Arial" w:cs="Arial"/>
                <w:b/>
                <w:bCs/>
              </w:rPr>
              <w:t>Author(s)</w:t>
            </w:r>
          </w:p>
          <w:p w14:paraId="63A58E49" w14:textId="77777777" w:rsidR="001F2C07" w:rsidRPr="00847072" w:rsidRDefault="001F2C07" w:rsidP="00B36960">
            <w:pPr>
              <w:ind w:left="66"/>
              <w:rPr>
                <w:rFonts w:ascii="Arial" w:hAnsi="Arial" w:cs="Arial"/>
                <w:b/>
                <w:bCs/>
              </w:rPr>
            </w:pPr>
          </w:p>
        </w:tc>
        <w:tc>
          <w:tcPr>
            <w:tcW w:w="1418" w:type="dxa"/>
            <w:tcBorders>
              <w:bottom w:val="single" w:sz="4" w:space="0" w:color="000000"/>
            </w:tcBorders>
            <w:shd w:val="clear" w:color="auto" w:fill="F2F2F2"/>
          </w:tcPr>
          <w:p w14:paraId="615064A1" w14:textId="77777777" w:rsidR="001F2C07" w:rsidRPr="00847072" w:rsidRDefault="001F2C07" w:rsidP="00B36960">
            <w:pPr>
              <w:ind w:left="66"/>
              <w:rPr>
                <w:rFonts w:ascii="Arial" w:hAnsi="Arial" w:cs="Arial"/>
                <w:b/>
                <w:bCs/>
              </w:rPr>
            </w:pPr>
            <w:r w:rsidRPr="00847072">
              <w:rPr>
                <w:rFonts w:ascii="Arial" w:hAnsi="Arial" w:cs="Arial"/>
                <w:b/>
                <w:bCs/>
              </w:rPr>
              <w:t>Version</w:t>
            </w:r>
          </w:p>
          <w:p w14:paraId="643153B8" w14:textId="77777777" w:rsidR="001F2C07" w:rsidRPr="00847072" w:rsidRDefault="001F2C07" w:rsidP="00B36960">
            <w:pPr>
              <w:ind w:left="66" w:right="-646"/>
              <w:rPr>
                <w:rFonts w:ascii="Arial" w:hAnsi="Arial" w:cs="Arial"/>
                <w:b/>
                <w:bCs/>
              </w:rPr>
            </w:pPr>
            <w:r w:rsidRPr="00847072">
              <w:rPr>
                <w:rFonts w:ascii="Arial" w:hAnsi="Arial" w:cs="Arial"/>
                <w:b/>
                <w:bCs/>
              </w:rPr>
              <w:t>Number</w:t>
            </w:r>
          </w:p>
        </w:tc>
      </w:tr>
      <w:tr w:rsidR="001F2C07" w:rsidRPr="00847072" w14:paraId="43C1F9B8" w14:textId="77777777" w:rsidTr="00203B4C">
        <w:trPr>
          <w:trHeight w:val="763"/>
        </w:trPr>
        <w:tc>
          <w:tcPr>
            <w:tcW w:w="1276" w:type="dxa"/>
          </w:tcPr>
          <w:p w14:paraId="7FD8D8F3" w14:textId="5B52C83D" w:rsidR="001F2C07" w:rsidRPr="00847072" w:rsidRDefault="00470677" w:rsidP="007600A8">
            <w:pPr>
              <w:rPr>
                <w:rFonts w:ascii="Arial" w:hAnsi="Arial" w:cs="Arial"/>
              </w:rPr>
            </w:pPr>
            <w:r>
              <w:rPr>
                <w:rFonts w:ascii="Arial" w:hAnsi="Arial" w:cs="Arial"/>
              </w:rPr>
              <w:t>18/10/22</w:t>
            </w:r>
          </w:p>
        </w:tc>
        <w:tc>
          <w:tcPr>
            <w:tcW w:w="5132" w:type="dxa"/>
          </w:tcPr>
          <w:p w14:paraId="3D07F1D7" w14:textId="5DACAD2D" w:rsidR="001F2C07" w:rsidRPr="00847072" w:rsidRDefault="000C69F3" w:rsidP="007600A8">
            <w:pPr>
              <w:rPr>
                <w:rFonts w:ascii="Arial" w:hAnsi="Arial" w:cs="Arial"/>
              </w:rPr>
            </w:pPr>
            <w:r>
              <w:rPr>
                <w:rFonts w:ascii="Arial" w:hAnsi="Arial" w:cs="Arial"/>
              </w:rPr>
              <w:t>Introduction of section to enable</w:t>
            </w:r>
            <w:r w:rsidR="00470677">
              <w:rPr>
                <w:rFonts w:ascii="Arial" w:hAnsi="Arial" w:cs="Arial"/>
              </w:rPr>
              <w:t xml:space="preserve"> </w:t>
            </w:r>
            <w:r w:rsidR="005C0DBB">
              <w:rPr>
                <w:rFonts w:ascii="Arial" w:hAnsi="Arial" w:cs="Arial"/>
              </w:rPr>
              <w:t xml:space="preserve">direct </w:t>
            </w:r>
            <w:r w:rsidR="00470677">
              <w:rPr>
                <w:rFonts w:ascii="Arial" w:hAnsi="Arial" w:cs="Arial"/>
              </w:rPr>
              <w:t xml:space="preserve">private referrals to NHS </w:t>
            </w:r>
            <w:r w:rsidR="005C0DBB">
              <w:rPr>
                <w:rFonts w:ascii="Arial" w:hAnsi="Arial" w:cs="Arial"/>
              </w:rPr>
              <w:t>care without need for GP referral.</w:t>
            </w:r>
          </w:p>
        </w:tc>
        <w:tc>
          <w:tcPr>
            <w:tcW w:w="1559" w:type="dxa"/>
          </w:tcPr>
          <w:p w14:paraId="74D59FD7" w14:textId="508F21F0" w:rsidR="001F2C07" w:rsidRPr="00847072" w:rsidRDefault="005C0DBB" w:rsidP="00B36960">
            <w:pPr>
              <w:ind w:left="66"/>
              <w:rPr>
                <w:rFonts w:ascii="Arial" w:hAnsi="Arial" w:cs="Arial"/>
                <w:bCs/>
              </w:rPr>
            </w:pPr>
            <w:r>
              <w:rPr>
                <w:rFonts w:ascii="Arial" w:hAnsi="Arial" w:cs="Arial"/>
                <w:bCs/>
              </w:rPr>
              <w:t>J. Shirley</w:t>
            </w:r>
          </w:p>
        </w:tc>
        <w:tc>
          <w:tcPr>
            <w:tcW w:w="1418" w:type="dxa"/>
          </w:tcPr>
          <w:p w14:paraId="4261FA09" w14:textId="4FD2D6E8" w:rsidR="001F2C07" w:rsidRPr="00847072" w:rsidRDefault="007717D1" w:rsidP="00B36960">
            <w:pPr>
              <w:ind w:left="66"/>
              <w:rPr>
                <w:rFonts w:ascii="Arial" w:hAnsi="Arial" w:cs="Arial"/>
                <w:bCs/>
              </w:rPr>
            </w:pPr>
            <w:r>
              <w:rPr>
                <w:rFonts w:ascii="Arial" w:hAnsi="Arial" w:cs="Arial"/>
                <w:bCs/>
              </w:rPr>
              <w:t>V3</w:t>
            </w:r>
          </w:p>
        </w:tc>
      </w:tr>
      <w:tr w:rsidR="003554AC" w:rsidRPr="00847072" w14:paraId="25791BA1" w14:textId="77777777" w:rsidTr="0011734C">
        <w:trPr>
          <w:trHeight w:val="763"/>
        </w:trPr>
        <w:tc>
          <w:tcPr>
            <w:tcW w:w="1276" w:type="dxa"/>
          </w:tcPr>
          <w:p w14:paraId="61AB609D" w14:textId="07E324E6" w:rsidR="003554AC" w:rsidRDefault="003554AC" w:rsidP="003554AC">
            <w:pPr>
              <w:rPr>
                <w:rFonts w:ascii="Arial" w:hAnsi="Arial" w:cs="Arial"/>
              </w:rPr>
            </w:pPr>
            <w:r>
              <w:rPr>
                <w:rFonts w:ascii="Arial" w:hAnsi="Arial" w:cs="Arial"/>
              </w:rPr>
              <w:t>15/11/22</w:t>
            </w:r>
          </w:p>
        </w:tc>
        <w:tc>
          <w:tcPr>
            <w:tcW w:w="5132" w:type="dxa"/>
          </w:tcPr>
          <w:p w14:paraId="41FD567A" w14:textId="77777777" w:rsidR="003554AC" w:rsidRDefault="003554AC" w:rsidP="003554AC">
            <w:pPr>
              <w:rPr>
                <w:rFonts w:ascii="Arial" w:hAnsi="Arial" w:cs="Arial"/>
              </w:rPr>
            </w:pPr>
            <w:r>
              <w:rPr>
                <w:rFonts w:ascii="Arial" w:hAnsi="Arial" w:cs="Arial"/>
              </w:rPr>
              <w:t>Following discussion at the Planned Care and Medicines Management Group, include reference to the Interface Committee.</w:t>
            </w:r>
          </w:p>
          <w:p w14:paraId="47FFB8A1" w14:textId="56946808" w:rsidR="003554AC" w:rsidRDefault="003554AC" w:rsidP="003554AC">
            <w:pPr>
              <w:rPr>
                <w:rFonts w:ascii="Arial" w:hAnsi="Arial" w:cs="Arial"/>
              </w:rPr>
            </w:pPr>
            <w:r>
              <w:rPr>
                <w:rFonts w:ascii="Arial" w:hAnsi="Arial" w:cs="Arial"/>
              </w:rPr>
              <w:t>Include contents page and numbered sections</w:t>
            </w:r>
            <w:r w:rsidR="00746435">
              <w:rPr>
                <w:rFonts w:ascii="Arial" w:hAnsi="Arial" w:cs="Arial"/>
              </w:rPr>
              <w:t>.</w:t>
            </w:r>
          </w:p>
          <w:p w14:paraId="06A662BF" w14:textId="54B53D5B" w:rsidR="003554AC" w:rsidRDefault="003554AC" w:rsidP="003554AC">
            <w:pPr>
              <w:rPr>
                <w:rFonts w:ascii="Arial" w:hAnsi="Arial" w:cs="Arial"/>
              </w:rPr>
            </w:pPr>
          </w:p>
        </w:tc>
        <w:tc>
          <w:tcPr>
            <w:tcW w:w="1559" w:type="dxa"/>
          </w:tcPr>
          <w:p w14:paraId="3826E898" w14:textId="3F1ACC7E" w:rsidR="003554AC" w:rsidRDefault="003554AC" w:rsidP="003554AC">
            <w:pPr>
              <w:ind w:left="66"/>
              <w:rPr>
                <w:rFonts w:ascii="Arial" w:hAnsi="Arial" w:cs="Arial"/>
                <w:bCs/>
              </w:rPr>
            </w:pPr>
            <w:r>
              <w:rPr>
                <w:rFonts w:ascii="Arial" w:hAnsi="Arial" w:cs="Arial"/>
                <w:bCs/>
              </w:rPr>
              <w:t>J. Shirley</w:t>
            </w:r>
          </w:p>
        </w:tc>
        <w:tc>
          <w:tcPr>
            <w:tcW w:w="1418" w:type="dxa"/>
          </w:tcPr>
          <w:p w14:paraId="47B5D354" w14:textId="077494D8" w:rsidR="003554AC" w:rsidRDefault="003554AC" w:rsidP="003554AC">
            <w:pPr>
              <w:ind w:left="66"/>
              <w:rPr>
                <w:rFonts w:ascii="Arial" w:hAnsi="Arial" w:cs="Arial"/>
                <w:bCs/>
              </w:rPr>
            </w:pPr>
            <w:r>
              <w:rPr>
                <w:rFonts w:ascii="Arial" w:hAnsi="Arial" w:cs="Arial"/>
                <w:bCs/>
              </w:rPr>
              <w:t>V4</w:t>
            </w:r>
          </w:p>
        </w:tc>
      </w:tr>
      <w:tr w:rsidR="0011734C" w:rsidRPr="00847072" w14:paraId="2928A446" w14:textId="77777777" w:rsidTr="00B36960">
        <w:trPr>
          <w:trHeight w:val="763"/>
        </w:trPr>
        <w:tc>
          <w:tcPr>
            <w:tcW w:w="1276" w:type="dxa"/>
            <w:tcBorders>
              <w:bottom w:val="single" w:sz="4" w:space="0" w:color="auto"/>
            </w:tcBorders>
          </w:tcPr>
          <w:p w14:paraId="69D8367C" w14:textId="51CAF177" w:rsidR="0011734C" w:rsidRDefault="00575C8C" w:rsidP="003554AC">
            <w:pPr>
              <w:rPr>
                <w:rFonts w:ascii="Arial" w:hAnsi="Arial" w:cs="Arial"/>
              </w:rPr>
            </w:pPr>
            <w:r>
              <w:rPr>
                <w:rFonts w:ascii="Arial" w:hAnsi="Arial" w:cs="Arial"/>
              </w:rPr>
              <w:t>05/12/22</w:t>
            </w:r>
          </w:p>
        </w:tc>
        <w:tc>
          <w:tcPr>
            <w:tcW w:w="5132" w:type="dxa"/>
            <w:tcBorders>
              <w:bottom w:val="single" w:sz="4" w:space="0" w:color="auto"/>
            </w:tcBorders>
          </w:tcPr>
          <w:p w14:paraId="26AF18CD" w14:textId="0203B4E7" w:rsidR="0011734C" w:rsidRDefault="00DE585A" w:rsidP="003554AC">
            <w:pPr>
              <w:rPr>
                <w:rFonts w:ascii="Arial" w:hAnsi="Arial" w:cs="Arial"/>
              </w:rPr>
            </w:pPr>
            <w:r>
              <w:rPr>
                <w:rFonts w:ascii="Arial" w:hAnsi="Arial" w:cs="Arial"/>
              </w:rPr>
              <w:t>Include contents page and numbered sections.</w:t>
            </w:r>
          </w:p>
        </w:tc>
        <w:tc>
          <w:tcPr>
            <w:tcW w:w="1559" w:type="dxa"/>
            <w:tcBorders>
              <w:bottom w:val="single" w:sz="4" w:space="0" w:color="auto"/>
            </w:tcBorders>
          </w:tcPr>
          <w:p w14:paraId="26573D93" w14:textId="1BCBB023" w:rsidR="0011734C" w:rsidRDefault="00DE585A" w:rsidP="003554AC">
            <w:pPr>
              <w:ind w:left="66"/>
              <w:rPr>
                <w:rFonts w:ascii="Arial" w:hAnsi="Arial" w:cs="Arial"/>
                <w:bCs/>
              </w:rPr>
            </w:pPr>
            <w:r>
              <w:rPr>
                <w:rFonts w:ascii="Arial" w:hAnsi="Arial" w:cs="Arial"/>
                <w:bCs/>
              </w:rPr>
              <w:t>J. Shirley</w:t>
            </w:r>
          </w:p>
        </w:tc>
        <w:tc>
          <w:tcPr>
            <w:tcW w:w="1418" w:type="dxa"/>
            <w:tcBorders>
              <w:bottom w:val="single" w:sz="4" w:space="0" w:color="auto"/>
            </w:tcBorders>
          </w:tcPr>
          <w:p w14:paraId="7BE206B7" w14:textId="4701B56C" w:rsidR="0011734C" w:rsidRDefault="00DE585A" w:rsidP="003554AC">
            <w:pPr>
              <w:ind w:left="66"/>
              <w:rPr>
                <w:rFonts w:ascii="Arial" w:hAnsi="Arial" w:cs="Arial"/>
                <w:bCs/>
              </w:rPr>
            </w:pPr>
            <w:r>
              <w:rPr>
                <w:rFonts w:ascii="Arial" w:hAnsi="Arial" w:cs="Arial"/>
                <w:bCs/>
              </w:rPr>
              <w:t>Final</w:t>
            </w:r>
          </w:p>
        </w:tc>
      </w:tr>
    </w:tbl>
    <w:p w14:paraId="354D30BD" w14:textId="0A2A478E" w:rsidR="000D3F78" w:rsidRDefault="000D3F78" w:rsidP="007966FB">
      <w:pPr>
        <w:autoSpaceDE w:val="0"/>
        <w:autoSpaceDN w:val="0"/>
        <w:adjustRightInd w:val="0"/>
        <w:spacing w:after="0" w:line="240" w:lineRule="auto"/>
        <w:rPr>
          <w:rFonts w:ascii="Arial" w:hAnsi="Arial" w:cs="Arial"/>
          <w:b/>
          <w:bCs/>
          <w:sz w:val="32"/>
          <w:szCs w:val="32"/>
        </w:rPr>
      </w:pPr>
    </w:p>
    <w:p w14:paraId="1307CE62" w14:textId="77777777" w:rsidR="000D3F78" w:rsidRDefault="000D3F78">
      <w:pPr>
        <w:rPr>
          <w:rFonts w:ascii="Arial" w:hAnsi="Arial" w:cs="Arial"/>
          <w:b/>
          <w:bCs/>
          <w:sz w:val="32"/>
          <w:szCs w:val="32"/>
        </w:rPr>
      </w:pPr>
      <w:r>
        <w:rPr>
          <w:rFonts w:ascii="Arial" w:hAnsi="Arial" w:cs="Arial"/>
          <w:b/>
          <w:bCs/>
          <w:sz w:val="32"/>
          <w:szCs w:val="32"/>
        </w:rPr>
        <w:br w:type="page"/>
      </w:r>
    </w:p>
    <w:sdt>
      <w:sdtPr>
        <w:rPr>
          <w:rFonts w:asciiTheme="minorHAnsi" w:eastAsiaTheme="minorHAnsi" w:hAnsiTheme="minorHAnsi" w:cstheme="minorBidi"/>
          <w:color w:val="auto"/>
          <w:sz w:val="22"/>
          <w:szCs w:val="22"/>
          <w:lang w:val="en-GB"/>
        </w:rPr>
        <w:id w:val="1717540250"/>
        <w:docPartObj>
          <w:docPartGallery w:val="Table of Contents"/>
          <w:docPartUnique/>
        </w:docPartObj>
      </w:sdtPr>
      <w:sdtEndPr>
        <w:rPr>
          <w:b/>
          <w:bCs/>
          <w:noProof/>
        </w:rPr>
      </w:sdtEndPr>
      <w:sdtContent>
        <w:p w14:paraId="023F49F6" w14:textId="4FE22EF1" w:rsidR="000D3F78" w:rsidRDefault="000D3F78">
          <w:pPr>
            <w:pStyle w:val="TOCHeading"/>
          </w:pPr>
          <w:r>
            <w:t>Contents</w:t>
          </w:r>
        </w:p>
        <w:p w14:paraId="4836ADBE" w14:textId="2ECC82EF" w:rsidR="00B42C16" w:rsidRDefault="000D3F78">
          <w:pPr>
            <w:pStyle w:val="TOC1"/>
            <w:tabs>
              <w:tab w:val="left" w:pos="440"/>
              <w:tab w:val="right" w:leader="dot" w:pos="9350"/>
            </w:tabs>
            <w:rPr>
              <w:rFonts w:eastAsiaTheme="minorEastAsia"/>
              <w:noProof/>
              <w:lang w:eastAsia="en-GB"/>
            </w:rPr>
          </w:pPr>
          <w:r>
            <w:fldChar w:fldCharType="begin"/>
          </w:r>
          <w:r>
            <w:instrText xml:space="preserve"> TOC \o "1-3" \h \z \u </w:instrText>
          </w:r>
          <w:r>
            <w:fldChar w:fldCharType="separate"/>
          </w:r>
          <w:hyperlink w:anchor="_Toc121142918" w:history="1">
            <w:r w:rsidR="00B42C16" w:rsidRPr="001D2CFB">
              <w:rPr>
                <w:rStyle w:val="Hyperlink"/>
                <w:b/>
                <w:bCs/>
                <w:noProof/>
              </w:rPr>
              <w:t>1.</w:t>
            </w:r>
            <w:r w:rsidR="00B42C16">
              <w:rPr>
                <w:rFonts w:eastAsiaTheme="minorEastAsia"/>
                <w:noProof/>
                <w:lang w:eastAsia="en-GB"/>
              </w:rPr>
              <w:tab/>
            </w:r>
            <w:r w:rsidR="00B42C16" w:rsidRPr="001D2CFB">
              <w:rPr>
                <w:rStyle w:val="Hyperlink"/>
                <w:b/>
                <w:bCs/>
                <w:noProof/>
              </w:rPr>
              <w:t>Principles and Process</w:t>
            </w:r>
            <w:r w:rsidR="00B42C16">
              <w:rPr>
                <w:noProof/>
                <w:webHidden/>
              </w:rPr>
              <w:tab/>
            </w:r>
            <w:r w:rsidR="00B42C16">
              <w:rPr>
                <w:noProof/>
                <w:webHidden/>
              </w:rPr>
              <w:fldChar w:fldCharType="begin"/>
            </w:r>
            <w:r w:rsidR="00B42C16">
              <w:rPr>
                <w:noProof/>
                <w:webHidden/>
              </w:rPr>
              <w:instrText xml:space="preserve"> PAGEREF _Toc121142918 \h </w:instrText>
            </w:r>
            <w:r w:rsidR="00B42C16">
              <w:rPr>
                <w:noProof/>
                <w:webHidden/>
              </w:rPr>
            </w:r>
            <w:r w:rsidR="00B42C16">
              <w:rPr>
                <w:noProof/>
                <w:webHidden/>
              </w:rPr>
              <w:fldChar w:fldCharType="separate"/>
            </w:r>
            <w:r w:rsidR="00FE202B">
              <w:rPr>
                <w:noProof/>
                <w:webHidden/>
              </w:rPr>
              <w:t>5</w:t>
            </w:r>
            <w:r w:rsidR="00B42C16">
              <w:rPr>
                <w:noProof/>
                <w:webHidden/>
              </w:rPr>
              <w:fldChar w:fldCharType="end"/>
            </w:r>
          </w:hyperlink>
        </w:p>
        <w:p w14:paraId="74B425B7" w14:textId="3AD32BE9" w:rsidR="00B42C16" w:rsidRDefault="00000000">
          <w:pPr>
            <w:pStyle w:val="TOC1"/>
            <w:tabs>
              <w:tab w:val="left" w:pos="440"/>
              <w:tab w:val="right" w:leader="dot" w:pos="9350"/>
            </w:tabs>
            <w:rPr>
              <w:rFonts w:eastAsiaTheme="minorEastAsia"/>
              <w:noProof/>
              <w:lang w:eastAsia="en-GB"/>
            </w:rPr>
          </w:pPr>
          <w:hyperlink w:anchor="_Toc121142919" w:history="1">
            <w:r w:rsidR="00B42C16" w:rsidRPr="001D2CFB">
              <w:rPr>
                <w:rStyle w:val="Hyperlink"/>
                <w:b/>
                <w:bCs/>
                <w:noProof/>
              </w:rPr>
              <w:t>2.</w:t>
            </w:r>
            <w:r w:rsidR="00B42C16">
              <w:rPr>
                <w:rFonts w:eastAsiaTheme="minorEastAsia"/>
                <w:noProof/>
                <w:lang w:eastAsia="en-GB"/>
              </w:rPr>
              <w:tab/>
            </w:r>
            <w:r w:rsidR="00B42C16" w:rsidRPr="001D2CFB">
              <w:rPr>
                <w:rStyle w:val="Hyperlink"/>
                <w:b/>
                <w:bCs/>
                <w:noProof/>
              </w:rPr>
              <w:t>Circumstances in which Consultant to Consultant referrals are appropriate</w:t>
            </w:r>
            <w:r w:rsidR="00B42C16">
              <w:rPr>
                <w:noProof/>
                <w:webHidden/>
              </w:rPr>
              <w:tab/>
            </w:r>
            <w:r w:rsidR="00B42C16">
              <w:rPr>
                <w:noProof/>
                <w:webHidden/>
              </w:rPr>
              <w:fldChar w:fldCharType="begin"/>
            </w:r>
            <w:r w:rsidR="00B42C16">
              <w:rPr>
                <w:noProof/>
                <w:webHidden/>
              </w:rPr>
              <w:instrText xml:space="preserve"> PAGEREF _Toc121142919 \h </w:instrText>
            </w:r>
            <w:r w:rsidR="00B42C16">
              <w:rPr>
                <w:noProof/>
                <w:webHidden/>
              </w:rPr>
            </w:r>
            <w:r w:rsidR="00B42C16">
              <w:rPr>
                <w:noProof/>
                <w:webHidden/>
              </w:rPr>
              <w:fldChar w:fldCharType="separate"/>
            </w:r>
            <w:r w:rsidR="00FE202B">
              <w:rPr>
                <w:noProof/>
                <w:webHidden/>
              </w:rPr>
              <w:t>6</w:t>
            </w:r>
            <w:r w:rsidR="00B42C16">
              <w:rPr>
                <w:noProof/>
                <w:webHidden/>
              </w:rPr>
              <w:fldChar w:fldCharType="end"/>
            </w:r>
          </w:hyperlink>
        </w:p>
        <w:p w14:paraId="3E17D990" w14:textId="3EFAB3C3" w:rsidR="00B42C16" w:rsidRDefault="00000000">
          <w:pPr>
            <w:pStyle w:val="TOC1"/>
            <w:tabs>
              <w:tab w:val="left" w:pos="440"/>
              <w:tab w:val="right" w:leader="dot" w:pos="9350"/>
            </w:tabs>
            <w:rPr>
              <w:rFonts w:eastAsiaTheme="minorEastAsia"/>
              <w:noProof/>
              <w:lang w:eastAsia="en-GB"/>
            </w:rPr>
          </w:pPr>
          <w:hyperlink w:anchor="_Toc121142920" w:history="1">
            <w:r w:rsidR="00B42C16" w:rsidRPr="001D2CFB">
              <w:rPr>
                <w:rStyle w:val="Hyperlink"/>
                <w:b/>
                <w:bCs/>
                <w:noProof/>
              </w:rPr>
              <w:t>3.</w:t>
            </w:r>
            <w:r w:rsidR="00B42C16">
              <w:rPr>
                <w:rFonts w:eastAsiaTheme="minorEastAsia"/>
                <w:noProof/>
                <w:lang w:eastAsia="en-GB"/>
              </w:rPr>
              <w:tab/>
            </w:r>
            <w:r w:rsidR="00B42C16" w:rsidRPr="001D2CFB">
              <w:rPr>
                <w:rStyle w:val="Hyperlink"/>
                <w:b/>
                <w:bCs/>
                <w:noProof/>
              </w:rPr>
              <w:t>Circumstances in which Consultant to Consultant referrals are not appropriate</w:t>
            </w:r>
            <w:r w:rsidR="00B42C16">
              <w:rPr>
                <w:noProof/>
                <w:webHidden/>
              </w:rPr>
              <w:tab/>
            </w:r>
            <w:r w:rsidR="00B42C16">
              <w:rPr>
                <w:noProof/>
                <w:webHidden/>
              </w:rPr>
              <w:fldChar w:fldCharType="begin"/>
            </w:r>
            <w:r w:rsidR="00B42C16">
              <w:rPr>
                <w:noProof/>
                <w:webHidden/>
              </w:rPr>
              <w:instrText xml:space="preserve"> PAGEREF _Toc121142920 \h </w:instrText>
            </w:r>
            <w:r w:rsidR="00B42C16">
              <w:rPr>
                <w:noProof/>
                <w:webHidden/>
              </w:rPr>
            </w:r>
            <w:r w:rsidR="00B42C16">
              <w:rPr>
                <w:noProof/>
                <w:webHidden/>
              </w:rPr>
              <w:fldChar w:fldCharType="separate"/>
            </w:r>
            <w:r w:rsidR="00FE202B">
              <w:rPr>
                <w:noProof/>
                <w:webHidden/>
              </w:rPr>
              <w:t>7</w:t>
            </w:r>
            <w:r w:rsidR="00B42C16">
              <w:rPr>
                <w:noProof/>
                <w:webHidden/>
              </w:rPr>
              <w:fldChar w:fldCharType="end"/>
            </w:r>
          </w:hyperlink>
        </w:p>
        <w:p w14:paraId="34023B5C" w14:textId="4C782CA2" w:rsidR="00B42C16" w:rsidRDefault="00000000">
          <w:pPr>
            <w:pStyle w:val="TOC1"/>
            <w:tabs>
              <w:tab w:val="left" w:pos="440"/>
              <w:tab w:val="right" w:leader="dot" w:pos="9350"/>
            </w:tabs>
            <w:rPr>
              <w:rFonts w:eastAsiaTheme="minorEastAsia"/>
              <w:noProof/>
              <w:lang w:eastAsia="en-GB"/>
            </w:rPr>
          </w:pPr>
          <w:hyperlink w:anchor="_Toc121142921" w:history="1">
            <w:r w:rsidR="00B42C16" w:rsidRPr="001D2CFB">
              <w:rPr>
                <w:rStyle w:val="Hyperlink"/>
                <w:b/>
                <w:bCs/>
                <w:noProof/>
              </w:rPr>
              <w:t>4.</w:t>
            </w:r>
            <w:r w:rsidR="00B42C16">
              <w:rPr>
                <w:rFonts w:eastAsiaTheme="minorEastAsia"/>
                <w:noProof/>
                <w:lang w:eastAsia="en-GB"/>
              </w:rPr>
              <w:tab/>
            </w:r>
            <w:r w:rsidR="00B42C16" w:rsidRPr="001D2CFB">
              <w:rPr>
                <w:rStyle w:val="Hyperlink"/>
                <w:b/>
                <w:bCs/>
                <w:noProof/>
              </w:rPr>
              <w:t>Intra-Specialty referrals</w:t>
            </w:r>
            <w:r w:rsidR="00B42C16">
              <w:rPr>
                <w:noProof/>
                <w:webHidden/>
              </w:rPr>
              <w:tab/>
            </w:r>
            <w:r w:rsidR="00B42C16">
              <w:rPr>
                <w:noProof/>
                <w:webHidden/>
              </w:rPr>
              <w:fldChar w:fldCharType="begin"/>
            </w:r>
            <w:r w:rsidR="00B42C16">
              <w:rPr>
                <w:noProof/>
                <w:webHidden/>
              </w:rPr>
              <w:instrText xml:space="preserve"> PAGEREF _Toc121142921 \h </w:instrText>
            </w:r>
            <w:r w:rsidR="00B42C16">
              <w:rPr>
                <w:noProof/>
                <w:webHidden/>
              </w:rPr>
            </w:r>
            <w:r w:rsidR="00B42C16">
              <w:rPr>
                <w:noProof/>
                <w:webHidden/>
              </w:rPr>
              <w:fldChar w:fldCharType="separate"/>
            </w:r>
            <w:r w:rsidR="00FE202B">
              <w:rPr>
                <w:noProof/>
                <w:webHidden/>
              </w:rPr>
              <w:t>7</w:t>
            </w:r>
            <w:r w:rsidR="00B42C16">
              <w:rPr>
                <w:noProof/>
                <w:webHidden/>
              </w:rPr>
              <w:fldChar w:fldCharType="end"/>
            </w:r>
          </w:hyperlink>
        </w:p>
        <w:p w14:paraId="54AC0E4A" w14:textId="14793E9A" w:rsidR="00B42C16" w:rsidRDefault="00000000">
          <w:pPr>
            <w:pStyle w:val="TOC1"/>
            <w:tabs>
              <w:tab w:val="left" w:pos="440"/>
              <w:tab w:val="right" w:leader="dot" w:pos="9350"/>
            </w:tabs>
            <w:rPr>
              <w:rFonts w:eastAsiaTheme="minorEastAsia"/>
              <w:noProof/>
              <w:lang w:eastAsia="en-GB"/>
            </w:rPr>
          </w:pPr>
          <w:hyperlink w:anchor="_Toc121142922" w:history="1">
            <w:r w:rsidR="00B42C16" w:rsidRPr="001D2CFB">
              <w:rPr>
                <w:rStyle w:val="Hyperlink"/>
                <w:b/>
                <w:bCs/>
                <w:noProof/>
              </w:rPr>
              <w:t>5.</w:t>
            </w:r>
            <w:r w:rsidR="00B42C16">
              <w:rPr>
                <w:rFonts w:eastAsiaTheme="minorEastAsia"/>
                <w:noProof/>
                <w:lang w:eastAsia="en-GB"/>
              </w:rPr>
              <w:tab/>
            </w:r>
            <w:r w:rsidR="00B42C16" w:rsidRPr="001D2CFB">
              <w:rPr>
                <w:rStyle w:val="Hyperlink"/>
                <w:b/>
                <w:bCs/>
                <w:noProof/>
              </w:rPr>
              <w:t>Private to NHS Referrals</w:t>
            </w:r>
            <w:r w:rsidR="00B42C16">
              <w:rPr>
                <w:noProof/>
                <w:webHidden/>
              </w:rPr>
              <w:tab/>
            </w:r>
            <w:r w:rsidR="00B42C16">
              <w:rPr>
                <w:noProof/>
                <w:webHidden/>
              </w:rPr>
              <w:fldChar w:fldCharType="begin"/>
            </w:r>
            <w:r w:rsidR="00B42C16">
              <w:rPr>
                <w:noProof/>
                <w:webHidden/>
              </w:rPr>
              <w:instrText xml:space="preserve"> PAGEREF _Toc121142922 \h </w:instrText>
            </w:r>
            <w:r w:rsidR="00B42C16">
              <w:rPr>
                <w:noProof/>
                <w:webHidden/>
              </w:rPr>
            </w:r>
            <w:r w:rsidR="00B42C16">
              <w:rPr>
                <w:noProof/>
                <w:webHidden/>
              </w:rPr>
              <w:fldChar w:fldCharType="separate"/>
            </w:r>
            <w:r w:rsidR="00FE202B">
              <w:rPr>
                <w:noProof/>
                <w:webHidden/>
              </w:rPr>
              <w:t>7</w:t>
            </w:r>
            <w:r w:rsidR="00B42C16">
              <w:rPr>
                <w:noProof/>
                <w:webHidden/>
              </w:rPr>
              <w:fldChar w:fldCharType="end"/>
            </w:r>
          </w:hyperlink>
        </w:p>
        <w:p w14:paraId="67AD0CDD" w14:textId="1E4A9DA9" w:rsidR="00B42C16" w:rsidRDefault="00000000">
          <w:pPr>
            <w:pStyle w:val="TOC1"/>
            <w:tabs>
              <w:tab w:val="left" w:pos="440"/>
              <w:tab w:val="right" w:leader="dot" w:pos="9350"/>
            </w:tabs>
            <w:rPr>
              <w:rFonts w:eastAsiaTheme="minorEastAsia"/>
              <w:noProof/>
              <w:lang w:eastAsia="en-GB"/>
            </w:rPr>
          </w:pPr>
          <w:hyperlink w:anchor="_Toc121142923" w:history="1">
            <w:r w:rsidR="00B42C16" w:rsidRPr="001D2CFB">
              <w:rPr>
                <w:rStyle w:val="Hyperlink"/>
                <w:b/>
                <w:bCs/>
                <w:noProof/>
              </w:rPr>
              <w:t>6.</w:t>
            </w:r>
            <w:r w:rsidR="00B42C16">
              <w:rPr>
                <w:rFonts w:eastAsiaTheme="minorEastAsia"/>
                <w:noProof/>
                <w:lang w:eastAsia="en-GB"/>
              </w:rPr>
              <w:tab/>
            </w:r>
            <w:r w:rsidR="00B42C16" w:rsidRPr="001D2CFB">
              <w:rPr>
                <w:rStyle w:val="Hyperlink"/>
                <w:b/>
                <w:bCs/>
                <w:noProof/>
              </w:rPr>
              <w:t>Clinical Governance</w:t>
            </w:r>
            <w:r w:rsidR="00B42C16">
              <w:rPr>
                <w:noProof/>
                <w:webHidden/>
              </w:rPr>
              <w:tab/>
            </w:r>
            <w:r w:rsidR="00B42C16">
              <w:rPr>
                <w:noProof/>
                <w:webHidden/>
              </w:rPr>
              <w:fldChar w:fldCharType="begin"/>
            </w:r>
            <w:r w:rsidR="00B42C16">
              <w:rPr>
                <w:noProof/>
                <w:webHidden/>
              </w:rPr>
              <w:instrText xml:space="preserve"> PAGEREF _Toc121142923 \h </w:instrText>
            </w:r>
            <w:r w:rsidR="00B42C16">
              <w:rPr>
                <w:noProof/>
                <w:webHidden/>
              </w:rPr>
            </w:r>
            <w:r w:rsidR="00B42C16">
              <w:rPr>
                <w:noProof/>
                <w:webHidden/>
              </w:rPr>
              <w:fldChar w:fldCharType="separate"/>
            </w:r>
            <w:r w:rsidR="00FE202B">
              <w:rPr>
                <w:noProof/>
                <w:webHidden/>
              </w:rPr>
              <w:t>8</w:t>
            </w:r>
            <w:r w:rsidR="00B42C16">
              <w:rPr>
                <w:noProof/>
                <w:webHidden/>
              </w:rPr>
              <w:fldChar w:fldCharType="end"/>
            </w:r>
          </w:hyperlink>
        </w:p>
        <w:p w14:paraId="74D36E45" w14:textId="1EF908D5" w:rsidR="00B42C16" w:rsidRDefault="00000000">
          <w:pPr>
            <w:pStyle w:val="TOC1"/>
            <w:tabs>
              <w:tab w:val="left" w:pos="440"/>
              <w:tab w:val="right" w:leader="dot" w:pos="9350"/>
            </w:tabs>
            <w:rPr>
              <w:rFonts w:eastAsiaTheme="minorEastAsia"/>
              <w:noProof/>
              <w:lang w:eastAsia="en-GB"/>
            </w:rPr>
          </w:pPr>
          <w:hyperlink w:anchor="_Toc121142924" w:history="1">
            <w:r w:rsidR="00B42C16" w:rsidRPr="001D2CFB">
              <w:rPr>
                <w:rStyle w:val="Hyperlink"/>
                <w:b/>
                <w:bCs/>
                <w:noProof/>
              </w:rPr>
              <w:t>7.</w:t>
            </w:r>
            <w:r w:rsidR="00B42C16">
              <w:rPr>
                <w:rFonts w:eastAsiaTheme="minorEastAsia"/>
                <w:noProof/>
                <w:lang w:eastAsia="en-GB"/>
              </w:rPr>
              <w:tab/>
            </w:r>
            <w:r w:rsidR="00B42C16" w:rsidRPr="001D2CFB">
              <w:rPr>
                <w:rStyle w:val="Hyperlink"/>
                <w:b/>
                <w:bCs/>
                <w:noProof/>
              </w:rPr>
              <w:t>Monitoring compliance with the policy</w:t>
            </w:r>
            <w:r w:rsidR="00B42C16">
              <w:rPr>
                <w:noProof/>
                <w:webHidden/>
              </w:rPr>
              <w:tab/>
            </w:r>
            <w:r w:rsidR="00B42C16">
              <w:rPr>
                <w:noProof/>
                <w:webHidden/>
              </w:rPr>
              <w:fldChar w:fldCharType="begin"/>
            </w:r>
            <w:r w:rsidR="00B42C16">
              <w:rPr>
                <w:noProof/>
                <w:webHidden/>
              </w:rPr>
              <w:instrText xml:space="preserve"> PAGEREF _Toc121142924 \h </w:instrText>
            </w:r>
            <w:r w:rsidR="00B42C16">
              <w:rPr>
                <w:noProof/>
                <w:webHidden/>
              </w:rPr>
            </w:r>
            <w:r w:rsidR="00B42C16">
              <w:rPr>
                <w:noProof/>
                <w:webHidden/>
              </w:rPr>
              <w:fldChar w:fldCharType="separate"/>
            </w:r>
            <w:r w:rsidR="00FE202B">
              <w:rPr>
                <w:noProof/>
                <w:webHidden/>
              </w:rPr>
              <w:t>8</w:t>
            </w:r>
            <w:r w:rsidR="00B42C16">
              <w:rPr>
                <w:noProof/>
                <w:webHidden/>
              </w:rPr>
              <w:fldChar w:fldCharType="end"/>
            </w:r>
          </w:hyperlink>
        </w:p>
        <w:p w14:paraId="51051A1D" w14:textId="6E3A5429" w:rsidR="000D3F78" w:rsidRDefault="000D3F78">
          <w:r>
            <w:rPr>
              <w:b/>
              <w:bCs/>
              <w:noProof/>
            </w:rPr>
            <w:fldChar w:fldCharType="end"/>
          </w:r>
        </w:p>
      </w:sdtContent>
    </w:sdt>
    <w:p w14:paraId="65E12A8D" w14:textId="77777777" w:rsidR="00203B4C" w:rsidRDefault="00203B4C" w:rsidP="007966FB">
      <w:pPr>
        <w:autoSpaceDE w:val="0"/>
        <w:autoSpaceDN w:val="0"/>
        <w:adjustRightInd w:val="0"/>
        <w:spacing w:after="0" w:line="240" w:lineRule="auto"/>
        <w:rPr>
          <w:rFonts w:ascii="Arial" w:hAnsi="Arial" w:cs="Arial"/>
          <w:b/>
          <w:bCs/>
          <w:sz w:val="32"/>
          <w:szCs w:val="32"/>
        </w:rPr>
      </w:pPr>
    </w:p>
    <w:p w14:paraId="37DC17E3" w14:textId="77777777" w:rsidR="00203B4C" w:rsidRDefault="00203B4C">
      <w:pPr>
        <w:rPr>
          <w:rFonts w:ascii="Arial" w:hAnsi="Arial" w:cs="Arial"/>
          <w:b/>
          <w:bCs/>
          <w:sz w:val="32"/>
          <w:szCs w:val="32"/>
        </w:rPr>
      </w:pPr>
      <w:r>
        <w:rPr>
          <w:rFonts w:ascii="Arial" w:hAnsi="Arial" w:cs="Arial"/>
          <w:b/>
          <w:bCs/>
          <w:sz w:val="32"/>
          <w:szCs w:val="32"/>
        </w:rPr>
        <w:br w:type="page"/>
      </w:r>
    </w:p>
    <w:p w14:paraId="71AEB66C" w14:textId="596DDF43" w:rsidR="00190220" w:rsidRPr="00190220" w:rsidRDefault="00190220" w:rsidP="007966FB">
      <w:pPr>
        <w:autoSpaceDE w:val="0"/>
        <w:autoSpaceDN w:val="0"/>
        <w:adjustRightInd w:val="0"/>
        <w:spacing w:after="0" w:line="240" w:lineRule="auto"/>
        <w:rPr>
          <w:rFonts w:ascii="Arial" w:hAnsi="Arial" w:cs="Arial"/>
          <w:b/>
          <w:bCs/>
          <w:sz w:val="32"/>
          <w:szCs w:val="32"/>
        </w:rPr>
      </w:pPr>
      <w:r w:rsidRPr="00190220">
        <w:rPr>
          <w:rFonts w:ascii="Arial" w:hAnsi="Arial" w:cs="Arial"/>
          <w:b/>
          <w:bCs/>
          <w:sz w:val="32"/>
          <w:szCs w:val="32"/>
        </w:rPr>
        <w:lastRenderedPageBreak/>
        <w:t xml:space="preserve">Consultant to Consultant Referral Policy </w:t>
      </w:r>
    </w:p>
    <w:p w14:paraId="56994DBC" w14:textId="77777777" w:rsidR="00946668" w:rsidRDefault="00946668" w:rsidP="007966FB">
      <w:pPr>
        <w:autoSpaceDE w:val="0"/>
        <w:autoSpaceDN w:val="0"/>
        <w:adjustRightInd w:val="0"/>
        <w:spacing w:after="0" w:line="240" w:lineRule="auto"/>
        <w:rPr>
          <w:rFonts w:ascii="Arial" w:hAnsi="Arial" w:cs="Arial"/>
          <w:b/>
          <w:bCs/>
          <w:sz w:val="24"/>
          <w:szCs w:val="24"/>
        </w:rPr>
      </w:pPr>
    </w:p>
    <w:p w14:paraId="524812EB" w14:textId="1692E128" w:rsidR="004C43E3" w:rsidRPr="001D4D4C" w:rsidRDefault="004C43E3" w:rsidP="007966FB">
      <w:pPr>
        <w:autoSpaceDE w:val="0"/>
        <w:autoSpaceDN w:val="0"/>
        <w:adjustRightInd w:val="0"/>
        <w:spacing w:after="0" w:line="240" w:lineRule="auto"/>
        <w:rPr>
          <w:rFonts w:ascii="Arial" w:hAnsi="Arial" w:cs="Arial"/>
        </w:rPr>
      </w:pPr>
      <w:r w:rsidRPr="00E7049C">
        <w:rPr>
          <w:rFonts w:ascii="Arial" w:hAnsi="Arial" w:cs="Arial"/>
        </w:rPr>
        <w:t xml:space="preserve">The following policy has been agreed between </w:t>
      </w:r>
      <w:r w:rsidR="00A23DDB">
        <w:rPr>
          <w:rFonts w:ascii="Arial" w:hAnsi="Arial" w:cs="Arial"/>
        </w:rPr>
        <w:t xml:space="preserve">The </w:t>
      </w:r>
      <w:r w:rsidR="00F90D6F">
        <w:rPr>
          <w:rFonts w:ascii="Arial" w:hAnsi="Arial" w:cs="Arial"/>
        </w:rPr>
        <w:t xml:space="preserve">NHS </w:t>
      </w:r>
      <w:r w:rsidR="00AA25A7">
        <w:rPr>
          <w:rFonts w:ascii="Arial" w:hAnsi="Arial" w:cs="Arial"/>
        </w:rPr>
        <w:t xml:space="preserve">Norfolk and Waveney </w:t>
      </w:r>
      <w:r w:rsidR="00B43EC5" w:rsidRPr="001D4D4C">
        <w:rPr>
          <w:rFonts w:ascii="Arial" w:hAnsi="Arial" w:cs="Arial"/>
        </w:rPr>
        <w:t xml:space="preserve">Integrated Care Board </w:t>
      </w:r>
      <w:r w:rsidR="00F90D6F" w:rsidRPr="001D4D4C">
        <w:rPr>
          <w:rFonts w:ascii="Arial" w:hAnsi="Arial" w:cs="Arial"/>
        </w:rPr>
        <w:t xml:space="preserve">and The </w:t>
      </w:r>
      <w:r w:rsidRPr="001D4D4C">
        <w:rPr>
          <w:rFonts w:ascii="Arial" w:hAnsi="Arial" w:cs="Arial"/>
        </w:rPr>
        <w:t xml:space="preserve">Norfolk and Norwich University </w:t>
      </w:r>
      <w:r w:rsidR="00F90D6F" w:rsidRPr="001D4D4C">
        <w:rPr>
          <w:rFonts w:ascii="Arial" w:hAnsi="Arial" w:cs="Arial"/>
        </w:rPr>
        <w:t xml:space="preserve">Hospitals NHS Foundation Trust, The James Paget University Hospital NHS Foundation </w:t>
      </w:r>
      <w:proofErr w:type="gramStart"/>
      <w:r w:rsidR="00F90D6F" w:rsidRPr="001D4D4C">
        <w:rPr>
          <w:rFonts w:ascii="Arial" w:hAnsi="Arial" w:cs="Arial"/>
        </w:rPr>
        <w:t>Trust</w:t>
      </w:r>
      <w:proofErr w:type="gramEnd"/>
      <w:r w:rsidR="00F90D6F" w:rsidRPr="001D4D4C">
        <w:rPr>
          <w:rFonts w:ascii="Arial" w:hAnsi="Arial" w:cs="Arial"/>
        </w:rPr>
        <w:t xml:space="preserve"> and The Queen Elizabeth Hospital King’s Lynn</w:t>
      </w:r>
      <w:r w:rsidR="00B43EC5" w:rsidRPr="001D4D4C">
        <w:rPr>
          <w:rFonts w:ascii="Arial" w:hAnsi="Arial" w:cs="Arial"/>
        </w:rPr>
        <w:t>.</w:t>
      </w:r>
    </w:p>
    <w:p w14:paraId="320A913F" w14:textId="77777777" w:rsidR="004C43E3" w:rsidRPr="001D4D4C" w:rsidRDefault="004C43E3" w:rsidP="007966FB">
      <w:pPr>
        <w:autoSpaceDE w:val="0"/>
        <w:autoSpaceDN w:val="0"/>
        <w:adjustRightInd w:val="0"/>
        <w:spacing w:after="0" w:line="240" w:lineRule="auto"/>
        <w:rPr>
          <w:rFonts w:ascii="Arial" w:hAnsi="Arial" w:cs="Arial"/>
        </w:rPr>
      </w:pPr>
    </w:p>
    <w:p w14:paraId="5A72E97D" w14:textId="54A7E644" w:rsidR="004C43E3" w:rsidRPr="001D4D4C" w:rsidRDefault="004C43E3" w:rsidP="007966FB">
      <w:pPr>
        <w:autoSpaceDE w:val="0"/>
        <w:autoSpaceDN w:val="0"/>
        <w:adjustRightInd w:val="0"/>
        <w:spacing w:after="0" w:line="240" w:lineRule="auto"/>
        <w:rPr>
          <w:rFonts w:ascii="Arial" w:hAnsi="Arial" w:cs="Arial"/>
        </w:rPr>
      </w:pPr>
      <w:r w:rsidRPr="001D4D4C">
        <w:rPr>
          <w:rFonts w:ascii="Arial" w:hAnsi="Arial" w:cs="Arial"/>
        </w:rPr>
        <w:t xml:space="preserve">This policy applies from the 1 </w:t>
      </w:r>
      <w:r w:rsidR="00A079E9">
        <w:rPr>
          <w:rFonts w:ascii="Arial" w:hAnsi="Arial" w:cs="Arial"/>
        </w:rPr>
        <w:t>December</w:t>
      </w:r>
      <w:r w:rsidR="00C3149D">
        <w:rPr>
          <w:rFonts w:ascii="Arial" w:hAnsi="Arial" w:cs="Arial"/>
        </w:rPr>
        <w:t xml:space="preserve"> </w:t>
      </w:r>
      <w:r w:rsidR="00B43EC5" w:rsidRPr="001D4D4C">
        <w:rPr>
          <w:rFonts w:ascii="Arial" w:hAnsi="Arial" w:cs="Arial"/>
        </w:rPr>
        <w:t>2022</w:t>
      </w:r>
      <w:r w:rsidRPr="001D4D4C">
        <w:rPr>
          <w:rFonts w:ascii="Arial" w:hAnsi="Arial" w:cs="Arial"/>
        </w:rPr>
        <w:t xml:space="preserve"> until further notice. </w:t>
      </w:r>
    </w:p>
    <w:p w14:paraId="057444D1" w14:textId="77777777" w:rsidR="004C43E3" w:rsidRPr="001D4D4C" w:rsidRDefault="004C43E3" w:rsidP="007966FB">
      <w:pPr>
        <w:autoSpaceDE w:val="0"/>
        <w:autoSpaceDN w:val="0"/>
        <w:adjustRightInd w:val="0"/>
        <w:spacing w:after="0" w:line="240" w:lineRule="auto"/>
        <w:rPr>
          <w:rFonts w:ascii="Arial" w:hAnsi="Arial" w:cs="Arial"/>
          <w:b/>
          <w:bCs/>
          <w:sz w:val="24"/>
          <w:szCs w:val="24"/>
        </w:rPr>
      </w:pPr>
    </w:p>
    <w:p w14:paraId="5880C8B0" w14:textId="21BE3A86" w:rsidR="00190220" w:rsidRPr="002F7FB3" w:rsidRDefault="00190220" w:rsidP="002F7FB3">
      <w:pPr>
        <w:pStyle w:val="Heading1"/>
        <w:numPr>
          <w:ilvl w:val="0"/>
          <w:numId w:val="9"/>
        </w:numPr>
        <w:rPr>
          <w:b/>
          <w:bCs/>
          <w:color w:val="auto"/>
        </w:rPr>
      </w:pPr>
      <w:bookmarkStart w:id="0" w:name="_Toc121142918"/>
      <w:r w:rsidRPr="002F7FB3">
        <w:rPr>
          <w:b/>
          <w:bCs/>
          <w:color w:val="auto"/>
        </w:rPr>
        <w:t>Principles and Process</w:t>
      </w:r>
      <w:bookmarkEnd w:id="0"/>
    </w:p>
    <w:p w14:paraId="5F9FDBB5" w14:textId="77777777" w:rsidR="004C43E3" w:rsidRPr="00190220" w:rsidRDefault="004C43E3" w:rsidP="007966FB">
      <w:pPr>
        <w:autoSpaceDE w:val="0"/>
        <w:autoSpaceDN w:val="0"/>
        <w:adjustRightInd w:val="0"/>
        <w:spacing w:after="0" w:line="240" w:lineRule="auto"/>
        <w:rPr>
          <w:rFonts w:ascii="Arial" w:hAnsi="Arial" w:cs="Arial"/>
          <w:b/>
          <w:bCs/>
          <w:sz w:val="24"/>
          <w:szCs w:val="24"/>
        </w:rPr>
      </w:pPr>
    </w:p>
    <w:p w14:paraId="12BC8B71" w14:textId="4AB9FE9E" w:rsidR="00190220" w:rsidRPr="00190220" w:rsidRDefault="00190220" w:rsidP="007966FB">
      <w:pPr>
        <w:autoSpaceDE w:val="0"/>
        <w:autoSpaceDN w:val="0"/>
        <w:adjustRightInd w:val="0"/>
        <w:spacing w:after="0" w:line="240" w:lineRule="auto"/>
        <w:rPr>
          <w:rFonts w:ascii="Arial" w:hAnsi="Arial" w:cs="Arial"/>
        </w:rPr>
      </w:pPr>
      <w:proofErr w:type="gramStart"/>
      <w:r w:rsidRPr="00190220">
        <w:rPr>
          <w:rFonts w:ascii="Arial" w:hAnsi="Arial" w:cs="Arial"/>
        </w:rPr>
        <w:t>The vast majority of</w:t>
      </w:r>
      <w:proofErr w:type="gramEnd"/>
      <w:r w:rsidRPr="00190220">
        <w:rPr>
          <w:rFonts w:ascii="Arial" w:hAnsi="Arial" w:cs="Arial"/>
        </w:rPr>
        <w:t xml:space="preserve"> referrals </w:t>
      </w:r>
      <w:r w:rsidR="001D4D4C">
        <w:rPr>
          <w:rFonts w:ascii="Arial" w:hAnsi="Arial" w:cs="Arial"/>
        </w:rPr>
        <w:t>are</w:t>
      </w:r>
      <w:r w:rsidRPr="00190220">
        <w:rPr>
          <w:rFonts w:ascii="Arial" w:hAnsi="Arial" w:cs="Arial"/>
        </w:rPr>
        <w:t xml:space="preserve"> made from Primary to</w:t>
      </w:r>
      <w:r>
        <w:rPr>
          <w:rFonts w:ascii="Arial" w:hAnsi="Arial" w:cs="Arial"/>
        </w:rPr>
        <w:t xml:space="preserve"> </w:t>
      </w:r>
      <w:r w:rsidRPr="00190220">
        <w:rPr>
          <w:rFonts w:ascii="Arial" w:hAnsi="Arial" w:cs="Arial"/>
        </w:rPr>
        <w:t>Secondary Care</w:t>
      </w:r>
      <w:r w:rsidR="004C43E3">
        <w:rPr>
          <w:rFonts w:ascii="Arial" w:hAnsi="Arial" w:cs="Arial"/>
        </w:rPr>
        <w:t>;</w:t>
      </w:r>
      <w:r w:rsidRPr="00190220">
        <w:rPr>
          <w:rFonts w:ascii="Arial" w:hAnsi="Arial" w:cs="Arial"/>
        </w:rPr>
        <w:t xml:space="preserve"> </w:t>
      </w:r>
      <w:r w:rsidR="00D528BE" w:rsidRPr="00190220">
        <w:rPr>
          <w:rFonts w:ascii="Arial" w:hAnsi="Arial" w:cs="Arial"/>
        </w:rPr>
        <w:t>however,</w:t>
      </w:r>
      <w:r w:rsidR="004C43E3" w:rsidRPr="00190220">
        <w:rPr>
          <w:rFonts w:ascii="Arial" w:hAnsi="Arial" w:cs="Arial"/>
        </w:rPr>
        <w:t xml:space="preserve"> </w:t>
      </w:r>
      <w:r w:rsidRPr="00190220">
        <w:rPr>
          <w:rFonts w:ascii="Arial" w:hAnsi="Arial" w:cs="Arial"/>
        </w:rPr>
        <w:t>there are circumstances in which a</w:t>
      </w:r>
      <w:r w:rsidR="007966FB">
        <w:rPr>
          <w:rFonts w:ascii="Arial" w:hAnsi="Arial" w:cs="Arial"/>
        </w:rPr>
        <w:t xml:space="preserve"> </w:t>
      </w:r>
      <w:r w:rsidRPr="00190220">
        <w:rPr>
          <w:rFonts w:ascii="Arial" w:hAnsi="Arial" w:cs="Arial"/>
        </w:rPr>
        <w:t xml:space="preserve">‘Consultant to </w:t>
      </w:r>
      <w:r w:rsidR="00D528BE">
        <w:rPr>
          <w:rFonts w:ascii="Arial" w:hAnsi="Arial" w:cs="Arial"/>
        </w:rPr>
        <w:t xml:space="preserve">Consultant’ </w:t>
      </w:r>
      <w:r w:rsidR="007966FB" w:rsidRPr="00190220">
        <w:rPr>
          <w:rFonts w:ascii="Arial" w:hAnsi="Arial" w:cs="Arial"/>
        </w:rPr>
        <w:t>referral</w:t>
      </w:r>
      <w:r w:rsidRPr="00190220">
        <w:rPr>
          <w:rFonts w:ascii="Arial" w:hAnsi="Arial" w:cs="Arial"/>
        </w:rPr>
        <w:t xml:space="preserve"> is appropriate. This policy</w:t>
      </w:r>
      <w:r w:rsidR="00ED7F4B">
        <w:rPr>
          <w:rFonts w:ascii="Arial" w:hAnsi="Arial" w:cs="Arial"/>
        </w:rPr>
        <w:t xml:space="preserve"> </w:t>
      </w:r>
      <w:r w:rsidR="004C43E3">
        <w:rPr>
          <w:rFonts w:ascii="Arial" w:hAnsi="Arial" w:cs="Arial"/>
        </w:rPr>
        <w:t>sets out</w:t>
      </w:r>
      <w:r w:rsidR="004C43E3" w:rsidRPr="00190220">
        <w:rPr>
          <w:rFonts w:ascii="Arial" w:hAnsi="Arial" w:cs="Arial"/>
        </w:rPr>
        <w:t xml:space="preserve"> </w:t>
      </w:r>
      <w:r w:rsidRPr="00190220">
        <w:rPr>
          <w:rFonts w:ascii="Arial" w:hAnsi="Arial" w:cs="Arial"/>
        </w:rPr>
        <w:t>when it is appropriate for a consultant</w:t>
      </w:r>
      <w:r w:rsidR="006326C2">
        <w:rPr>
          <w:rFonts w:ascii="Arial" w:hAnsi="Arial" w:cs="Arial"/>
        </w:rPr>
        <w:t>,</w:t>
      </w:r>
      <w:r w:rsidRPr="00190220">
        <w:rPr>
          <w:rFonts w:ascii="Arial" w:hAnsi="Arial" w:cs="Arial"/>
        </w:rPr>
        <w:t xml:space="preserve"> or a G</w:t>
      </w:r>
      <w:r w:rsidR="004C43E3">
        <w:rPr>
          <w:rFonts w:ascii="Arial" w:hAnsi="Arial" w:cs="Arial"/>
        </w:rPr>
        <w:t xml:space="preserve">eneral </w:t>
      </w:r>
      <w:r w:rsidRPr="00190220">
        <w:rPr>
          <w:rFonts w:ascii="Arial" w:hAnsi="Arial" w:cs="Arial"/>
        </w:rPr>
        <w:t>P</w:t>
      </w:r>
      <w:r w:rsidR="004C43E3">
        <w:rPr>
          <w:rFonts w:ascii="Arial" w:hAnsi="Arial" w:cs="Arial"/>
        </w:rPr>
        <w:t>ractitioner</w:t>
      </w:r>
      <w:r w:rsidRPr="00190220">
        <w:rPr>
          <w:rFonts w:ascii="Arial" w:hAnsi="Arial" w:cs="Arial"/>
        </w:rPr>
        <w:t xml:space="preserve"> </w:t>
      </w:r>
      <w:r w:rsidR="004C43E3">
        <w:rPr>
          <w:rFonts w:ascii="Arial" w:hAnsi="Arial" w:cs="Arial"/>
        </w:rPr>
        <w:t xml:space="preserve">(GP) </w:t>
      </w:r>
      <w:r w:rsidRPr="00190220">
        <w:rPr>
          <w:rFonts w:ascii="Arial" w:hAnsi="Arial" w:cs="Arial"/>
        </w:rPr>
        <w:t>working in</w:t>
      </w:r>
      <w:r w:rsidR="007966FB">
        <w:rPr>
          <w:rFonts w:ascii="Arial" w:hAnsi="Arial" w:cs="Arial"/>
        </w:rPr>
        <w:t xml:space="preserve"> </w:t>
      </w:r>
      <w:r w:rsidRPr="00190220">
        <w:rPr>
          <w:rFonts w:ascii="Arial" w:hAnsi="Arial" w:cs="Arial"/>
        </w:rPr>
        <w:t xml:space="preserve">the </w:t>
      </w:r>
      <w:r w:rsidR="004C43E3" w:rsidRPr="00190220">
        <w:rPr>
          <w:rFonts w:ascii="Arial" w:hAnsi="Arial" w:cs="Arial"/>
        </w:rPr>
        <w:t>U</w:t>
      </w:r>
      <w:r w:rsidR="004C43E3">
        <w:rPr>
          <w:rFonts w:ascii="Arial" w:hAnsi="Arial" w:cs="Arial"/>
        </w:rPr>
        <w:t xml:space="preserve">rgent </w:t>
      </w:r>
      <w:r w:rsidRPr="00190220">
        <w:rPr>
          <w:rFonts w:ascii="Arial" w:hAnsi="Arial" w:cs="Arial"/>
        </w:rPr>
        <w:t>C</w:t>
      </w:r>
      <w:r w:rsidR="004C43E3">
        <w:rPr>
          <w:rFonts w:ascii="Arial" w:hAnsi="Arial" w:cs="Arial"/>
        </w:rPr>
        <w:t xml:space="preserve">are </w:t>
      </w:r>
      <w:r w:rsidRPr="00190220">
        <w:rPr>
          <w:rFonts w:ascii="Arial" w:hAnsi="Arial" w:cs="Arial"/>
        </w:rPr>
        <w:t>C</w:t>
      </w:r>
      <w:r w:rsidR="004C43E3">
        <w:rPr>
          <w:rFonts w:ascii="Arial" w:hAnsi="Arial" w:cs="Arial"/>
        </w:rPr>
        <w:t>entre</w:t>
      </w:r>
      <w:r w:rsidRPr="00190220">
        <w:rPr>
          <w:rFonts w:ascii="Arial" w:hAnsi="Arial" w:cs="Arial"/>
        </w:rPr>
        <w:t xml:space="preserve"> </w:t>
      </w:r>
      <w:r w:rsidR="004C43E3">
        <w:rPr>
          <w:rFonts w:ascii="Arial" w:hAnsi="Arial" w:cs="Arial"/>
        </w:rPr>
        <w:t>(UCC)</w:t>
      </w:r>
      <w:r w:rsidR="006326C2">
        <w:rPr>
          <w:rFonts w:ascii="Arial" w:hAnsi="Arial" w:cs="Arial"/>
        </w:rPr>
        <w:t>,</w:t>
      </w:r>
      <w:r w:rsidR="004C43E3">
        <w:rPr>
          <w:rFonts w:ascii="Arial" w:hAnsi="Arial" w:cs="Arial"/>
        </w:rPr>
        <w:t xml:space="preserve"> </w:t>
      </w:r>
      <w:r w:rsidR="006326C2">
        <w:rPr>
          <w:rFonts w:ascii="Arial" w:hAnsi="Arial" w:cs="Arial"/>
        </w:rPr>
        <w:t>t</w:t>
      </w:r>
      <w:r w:rsidR="004C43E3" w:rsidRPr="00190220">
        <w:rPr>
          <w:rFonts w:ascii="Arial" w:hAnsi="Arial" w:cs="Arial"/>
        </w:rPr>
        <w:t xml:space="preserve">o </w:t>
      </w:r>
      <w:r w:rsidRPr="00190220">
        <w:rPr>
          <w:rFonts w:ascii="Arial" w:hAnsi="Arial" w:cs="Arial"/>
        </w:rPr>
        <w:t>refer on to another specialty or specialist and when the</w:t>
      </w:r>
      <w:r>
        <w:rPr>
          <w:rFonts w:ascii="Arial" w:hAnsi="Arial" w:cs="Arial"/>
        </w:rPr>
        <w:t xml:space="preserve"> </w:t>
      </w:r>
      <w:r w:rsidRPr="00190220">
        <w:rPr>
          <w:rFonts w:ascii="Arial" w:hAnsi="Arial" w:cs="Arial"/>
        </w:rPr>
        <w:t xml:space="preserve">patient should be </w:t>
      </w:r>
      <w:proofErr w:type="gramStart"/>
      <w:r w:rsidR="00946668">
        <w:rPr>
          <w:rFonts w:ascii="Arial" w:hAnsi="Arial" w:cs="Arial"/>
        </w:rPr>
        <w:t>referred</w:t>
      </w:r>
      <w:r w:rsidR="00946668" w:rsidRPr="00190220">
        <w:rPr>
          <w:rFonts w:ascii="Arial" w:hAnsi="Arial" w:cs="Arial"/>
        </w:rPr>
        <w:t xml:space="preserve"> </w:t>
      </w:r>
      <w:r w:rsidRPr="00190220">
        <w:rPr>
          <w:rFonts w:ascii="Arial" w:hAnsi="Arial" w:cs="Arial"/>
        </w:rPr>
        <w:t>back</w:t>
      </w:r>
      <w:proofErr w:type="gramEnd"/>
      <w:r w:rsidRPr="00190220">
        <w:rPr>
          <w:rFonts w:ascii="Arial" w:hAnsi="Arial" w:cs="Arial"/>
        </w:rPr>
        <w:t xml:space="preserve"> to the care of their GP to determine</w:t>
      </w:r>
      <w:r>
        <w:rPr>
          <w:rFonts w:ascii="Arial" w:hAnsi="Arial" w:cs="Arial"/>
        </w:rPr>
        <w:t xml:space="preserve"> </w:t>
      </w:r>
      <w:r w:rsidRPr="00190220">
        <w:rPr>
          <w:rFonts w:ascii="Arial" w:hAnsi="Arial" w:cs="Arial"/>
        </w:rPr>
        <w:t>appropriate further action.</w:t>
      </w:r>
    </w:p>
    <w:p w14:paraId="663E3BF9" w14:textId="77777777" w:rsidR="00190220" w:rsidRDefault="00190220" w:rsidP="007966FB">
      <w:pPr>
        <w:autoSpaceDE w:val="0"/>
        <w:autoSpaceDN w:val="0"/>
        <w:adjustRightInd w:val="0"/>
        <w:spacing w:after="0" w:line="240" w:lineRule="auto"/>
        <w:rPr>
          <w:rFonts w:ascii="Arial" w:hAnsi="Arial" w:cs="Arial"/>
        </w:rPr>
      </w:pPr>
    </w:p>
    <w:p w14:paraId="7C8FBC0F" w14:textId="77777777" w:rsidR="00190220" w:rsidRDefault="00190220" w:rsidP="007966FB">
      <w:pPr>
        <w:autoSpaceDE w:val="0"/>
        <w:autoSpaceDN w:val="0"/>
        <w:adjustRightInd w:val="0"/>
        <w:spacing w:after="0" w:line="240" w:lineRule="auto"/>
        <w:rPr>
          <w:rFonts w:ascii="Arial" w:hAnsi="Arial" w:cs="Arial"/>
        </w:rPr>
      </w:pPr>
      <w:r w:rsidRPr="00190220">
        <w:rPr>
          <w:rFonts w:ascii="Arial" w:hAnsi="Arial" w:cs="Arial"/>
        </w:rPr>
        <w:t>The policy should not prevent or delay further care or investigation</w:t>
      </w:r>
      <w:r>
        <w:rPr>
          <w:rFonts w:ascii="Arial" w:hAnsi="Arial" w:cs="Arial"/>
        </w:rPr>
        <w:t xml:space="preserve"> </w:t>
      </w:r>
      <w:r w:rsidRPr="00190220">
        <w:rPr>
          <w:rFonts w:ascii="Arial" w:hAnsi="Arial" w:cs="Arial"/>
        </w:rPr>
        <w:t>for the presenting symptoms or condition which the</w:t>
      </w:r>
      <w:r w:rsidR="00946668">
        <w:rPr>
          <w:rFonts w:ascii="Arial" w:hAnsi="Arial" w:cs="Arial"/>
        </w:rPr>
        <w:t xml:space="preserve"> patients</w:t>
      </w:r>
      <w:r w:rsidRPr="00190220">
        <w:rPr>
          <w:rFonts w:ascii="Arial" w:hAnsi="Arial" w:cs="Arial"/>
        </w:rPr>
        <w:t xml:space="preserve"> were</w:t>
      </w:r>
      <w:r>
        <w:rPr>
          <w:rFonts w:ascii="Arial" w:hAnsi="Arial" w:cs="Arial"/>
        </w:rPr>
        <w:t xml:space="preserve"> </w:t>
      </w:r>
      <w:r w:rsidRPr="00190220">
        <w:rPr>
          <w:rFonts w:ascii="Arial" w:hAnsi="Arial" w:cs="Arial"/>
        </w:rPr>
        <w:t xml:space="preserve">referred </w:t>
      </w:r>
      <w:r w:rsidR="00946668" w:rsidRPr="00190220">
        <w:rPr>
          <w:rFonts w:ascii="Arial" w:hAnsi="Arial" w:cs="Arial"/>
        </w:rPr>
        <w:t xml:space="preserve">for </w:t>
      </w:r>
      <w:r w:rsidRPr="00190220">
        <w:rPr>
          <w:rFonts w:ascii="Arial" w:hAnsi="Arial" w:cs="Arial"/>
        </w:rPr>
        <w:t xml:space="preserve">by their GP. Clinical safety considerations must </w:t>
      </w:r>
      <w:proofErr w:type="gramStart"/>
      <w:r w:rsidRPr="00190220">
        <w:rPr>
          <w:rFonts w:ascii="Arial" w:hAnsi="Arial" w:cs="Arial"/>
        </w:rPr>
        <w:t>take</w:t>
      </w:r>
      <w:r w:rsidR="000055F5">
        <w:rPr>
          <w:rFonts w:ascii="Arial" w:hAnsi="Arial" w:cs="Arial"/>
        </w:rPr>
        <w:t xml:space="preserve"> </w:t>
      </w:r>
      <w:r w:rsidRPr="00190220">
        <w:rPr>
          <w:rFonts w:ascii="Arial" w:hAnsi="Arial" w:cs="Arial"/>
        </w:rPr>
        <w:t>precedence at all times</w:t>
      </w:r>
      <w:proofErr w:type="gramEnd"/>
      <w:r w:rsidRPr="00190220">
        <w:rPr>
          <w:rFonts w:ascii="Arial" w:hAnsi="Arial" w:cs="Arial"/>
        </w:rPr>
        <w:t>.</w:t>
      </w:r>
    </w:p>
    <w:p w14:paraId="312E8E46" w14:textId="77777777" w:rsidR="00190220" w:rsidRDefault="00190220" w:rsidP="007966FB">
      <w:pPr>
        <w:autoSpaceDE w:val="0"/>
        <w:autoSpaceDN w:val="0"/>
        <w:adjustRightInd w:val="0"/>
        <w:spacing w:after="0" w:line="240" w:lineRule="auto"/>
        <w:rPr>
          <w:rFonts w:ascii="Arial" w:hAnsi="Arial" w:cs="Arial"/>
        </w:rPr>
      </w:pPr>
    </w:p>
    <w:p w14:paraId="6214F2F6" w14:textId="4ACB4F47" w:rsidR="00C32A5E" w:rsidRDefault="00C32A5E" w:rsidP="00C32A5E">
      <w:pPr>
        <w:autoSpaceDE w:val="0"/>
        <w:autoSpaceDN w:val="0"/>
        <w:adjustRightInd w:val="0"/>
        <w:spacing w:after="0" w:line="240" w:lineRule="auto"/>
        <w:rPr>
          <w:rFonts w:ascii="Arial" w:hAnsi="Arial" w:cs="Arial"/>
        </w:rPr>
      </w:pPr>
      <w:r w:rsidRPr="00C32A5E">
        <w:rPr>
          <w:rFonts w:ascii="Arial" w:hAnsi="Arial" w:cs="Arial"/>
        </w:rPr>
        <w:t>To facilitate the effective u</w:t>
      </w:r>
      <w:r w:rsidR="00881F1E">
        <w:rPr>
          <w:rFonts w:ascii="Arial" w:hAnsi="Arial" w:cs="Arial"/>
        </w:rPr>
        <w:t>se of Consultant</w:t>
      </w:r>
      <w:r w:rsidR="0067671E">
        <w:rPr>
          <w:rFonts w:ascii="Arial" w:hAnsi="Arial" w:cs="Arial"/>
        </w:rPr>
        <w:t xml:space="preserve"> </w:t>
      </w:r>
      <w:r w:rsidR="00881F1E">
        <w:rPr>
          <w:rFonts w:ascii="Arial" w:hAnsi="Arial" w:cs="Arial"/>
        </w:rPr>
        <w:t>to</w:t>
      </w:r>
      <w:r w:rsidR="0067671E">
        <w:rPr>
          <w:rFonts w:ascii="Arial" w:hAnsi="Arial" w:cs="Arial"/>
        </w:rPr>
        <w:t xml:space="preserve"> </w:t>
      </w:r>
      <w:r w:rsidR="00881F1E">
        <w:rPr>
          <w:rFonts w:ascii="Arial" w:hAnsi="Arial" w:cs="Arial"/>
        </w:rPr>
        <w:t>C</w:t>
      </w:r>
      <w:r>
        <w:rPr>
          <w:rFonts w:ascii="Arial" w:hAnsi="Arial" w:cs="Arial"/>
        </w:rPr>
        <w:t>onsultant</w:t>
      </w:r>
      <w:r w:rsidR="00C3149D">
        <w:rPr>
          <w:rFonts w:ascii="Arial" w:hAnsi="Arial" w:cs="Arial"/>
        </w:rPr>
        <w:t xml:space="preserve"> (C2C)</w:t>
      </w:r>
      <w:r>
        <w:rPr>
          <w:rFonts w:ascii="Arial" w:hAnsi="Arial" w:cs="Arial"/>
        </w:rPr>
        <w:t xml:space="preserve"> referrals there must be some </w:t>
      </w:r>
      <w:r w:rsidRPr="00C32A5E">
        <w:rPr>
          <w:rFonts w:ascii="Arial" w:hAnsi="Arial" w:cs="Arial"/>
        </w:rPr>
        <w:t>key guiding principles to ensure patient safety and reduce</w:t>
      </w:r>
      <w:r>
        <w:rPr>
          <w:rFonts w:ascii="Arial" w:hAnsi="Arial" w:cs="Arial"/>
        </w:rPr>
        <w:t xml:space="preserve"> clinical risk. The overarching </w:t>
      </w:r>
      <w:r w:rsidRPr="00C32A5E">
        <w:rPr>
          <w:rFonts w:ascii="Arial" w:hAnsi="Arial" w:cs="Arial"/>
        </w:rPr>
        <w:t xml:space="preserve">principle, however, is </w:t>
      </w:r>
      <w:r w:rsidR="006326C2">
        <w:rPr>
          <w:rFonts w:ascii="Arial" w:hAnsi="Arial" w:cs="Arial"/>
        </w:rPr>
        <w:t xml:space="preserve">that </w:t>
      </w:r>
      <w:r w:rsidRPr="00C32A5E">
        <w:rPr>
          <w:rFonts w:ascii="Arial" w:hAnsi="Arial" w:cs="Arial"/>
        </w:rPr>
        <w:t xml:space="preserve">if the patient </w:t>
      </w:r>
      <w:r w:rsidR="006326C2">
        <w:rPr>
          <w:rFonts w:ascii="Arial" w:hAnsi="Arial" w:cs="Arial"/>
        </w:rPr>
        <w:t>can</w:t>
      </w:r>
      <w:r w:rsidRPr="00C32A5E">
        <w:rPr>
          <w:rFonts w:ascii="Arial" w:hAnsi="Arial" w:cs="Arial"/>
        </w:rPr>
        <w:t xml:space="preserve"> be m</w:t>
      </w:r>
      <w:r>
        <w:rPr>
          <w:rFonts w:ascii="Arial" w:hAnsi="Arial" w:cs="Arial"/>
        </w:rPr>
        <w:t xml:space="preserve">anaged in primary and community </w:t>
      </w:r>
      <w:r w:rsidRPr="00C32A5E">
        <w:rPr>
          <w:rFonts w:ascii="Arial" w:hAnsi="Arial" w:cs="Arial"/>
        </w:rPr>
        <w:t xml:space="preserve">care they should be </w:t>
      </w:r>
      <w:proofErr w:type="gramStart"/>
      <w:r w:rsidRPr="00C32A5E">
        <w:rPr>
          <w:rFonts w:ascii="Arial" w:hAnsi="Arial" w:cs="Arial"/>
        </w:rPr>
        <w:t>referred back</w:t>
      </w:r>
      <w:proofErr w:type="gramEnd"/>
      <w:r w:rsidRPr="00C32A5E">
        <w:rPr>
          <w:rFonts w:ascii="Arial" w:hAnsi="Arial" w:cs="Arial"/>
        </w:rPr>
        <w:t xml:space="preserve"> to their GP.</w:t>
      </w:r>
    </w:p>
    <w:p w14:paraId="58B9B7E9" w14:textId="77777777" w:rsidR="00C32A5E" w:rsidRPr="00C32A5E" w:rsidRDefault="00C32A5E" w:rsidP="00C32A5E">
      <w:pPr>
        <w:autoSpaceDE w:val="0"/>
        <w:autoSpaceDN w:val="0"/>
        <w:adjustRightInd w:val="0"/>
        <w:spacing w:after="0" w:line="240" w:lineRule="auto"/>
        <w:rPr>
          <w:rFonts w:ascii="Arial" w:hAnsi="Arial" w:cs="Arial"/>
        </w:rPr>
      </w:pPr>
    </w:p>
    <w:p w14:paraId="67D138BD" w14:textId="77777777" w:rsidR="00C32A5E" w:rsidRDefault="00C32A5E" w:rsidP="006326C2">
      <w:pPr>
        <w:pStyle w:val="ListParagraph"/>
        <w:numPr>
          <w:ilvl w:val="0"/>
          <w:numId w:val="4"/>
        </w:numPr>
        <w:autoSpaceDE w:val="0"/>
        <w:autoSpaceDN w:val="0"/>
        <w:adjustRightInd w:val="0"/>
        <w:spacing w:after="0" w:line="240" w:lineRule="auto"/>
        <w:rPr>
          <w:rFonts w:ascii="Arial" w:hAnsi="Arial" w:cs="Arial"/>
        </w:rPr>
      </w:pPr>
      <w:r w:rsidRPr="006326C2">
        <w:rPr>
          <w:rFonts w:ascii="Arial" w:hAnsi="Arial" w:cs="Arial"/>
        </w:rPr>
        <w:t>Where a condition can be managed in primary and community care, the patient</w:t>
      </w:r>
      <w:r>
        <w:rPr>
          <w:rFonts w:ascii="Arial" w:hAnsi="Arial" w:cs="Arial"/>
        </w:rPr>
        <w:t xml:space="preserve"> </w:t>
      </w:r>
      <w:r w:rsidRPr="006326C2">
        <w:rPr>
          <w:rFonts w:ascii="Arial" w:hAnsi="Arial" w:cs="Arial"/>
        </w:rPr>
        <w:t xml:space="preserve">should be </w:t>
      </w:r>
      <w:proofErr w:type="gramStart"/>
      <w:r w:rsidRPr="006326C2">
        <w:rPr>
          <w:rFonts w:ascii="Arial" w:hAnsi="Arial" w:cs="Arial"/>
        </w:rPr>
        <w:t>ref</w:t>
      </w:r>
      <w:r w:rsidR="00914793">
        <w:rPr>
          <w:rFonts w:ascii="Arial" w:hAnsi="Arial" w:cs="Arial"/>
        </w:rPr>
        <w:t>erred back</w:t>
      </w:r>
      <w:proofErr w:type="gramEnd"/>
      <w:r w:rsidR="00914793">
        <w:rPr>
          <w:rFonts w:ascii="Arial" w:hAnsi="Arial" w:cs="Arial"/>
        </w:rPr>
        <w:t xml:space="preserve"> to their GP practice.</w:t>
      </w:r>
    </w:p>
    <w:p w14:paraId="607A955B" w14:textId="7841A727" w:rsidR="00815B02" w:rsidRDefault="00881F1E" w:rsidP="006326C2">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 xml:space="preserve">At the point of </w:t>
      </w:r>
      <w:r w:rsidR="00C3149D">
        <w:rPr>
          <w:rFonts w:ascii="Arial" w:hAnsi="Arial" w:cs="Arial"/>
        </w:rPr>
        <w:t>C2C</w:t>
      </w:r>
      <w:r w:rsidR="00774F3D">
        <w:rPr>
          <w:rFonts w:ascii="Arial" w:hAnsi="Arial" w:cs="Arial"/>
        </w:rPr>
        <w:t xml:space="preserve"> referral a p</w:t>
      </w:r>
      <w:r w:rsidR="00C32A5E" w:rsidRPr="006326C2">
        <w:rPr>
          <w:rFonts w:ascii="Arial" w:hAnsi="Arial" w:cs="Arial"/>
        </w:rPr>
        <w:t xml:space="preserve">atient should be </w:t>
      </w:r>
      <w:r w:rsidR="00774F3D">
        <w:rPr>
          <w:rFonts w:ascii="Arial" w:hAnsi="Arial" w:cs="Arial"/>
        </w:rPr>
        <w:t>made aware of their right to choose the hospital of their treatment.</w:t>
      </w:r>
    </w:p>
    <w:p w14:paraId="59C0B713" w14:textId="365F8D5A" w:rsidR="00815B02" w:rsidRDefault="00C32A5E" w:rsidP="006326C2">
      <w:pPr>
        <w:pStyle w:val="ListParagraph"/>
        <w:numPr>
          <w:ilvl w:val="0"/>
          <w:numId w:val="4"/>
        </w:numPr>
        <w:autoSpaceDE w:val="0"/>
        <w:autoSpaceDN w:val="0"/>
        <w:adjustRightInd w:val="0"/>
        <w:spacing w:after="0" w:line="240" w:lineRule="auto"/>
        <w:rPr>
          <w:rFonts w:ascii="Arial" w:hAnsi="Arial" w:cs="Arial"/>
        </w:rPr>
      </w:pPr>
      <w:r w:rsidRPr="006326C2">
        <w:rPr>
          <w:rFonts w:ascii="Arial" w:hAnsi="Arial" w:cs="Arial"/>
        </w:rPr>
        <w:t xml:space="preserve">Patients should have access to care in line with </w:t>
      </w:r>
      <w:r w:rsidR="00D528BE">
        <w:rPr>
          <w:rFonts w:ascii="Arial" w:hAnsi="Arial" w:cs="Arial"/>
        </w:rPr>
        <w:t>the 18-</w:t>
      </w:r>
      <w:r w:rsidRPr="006326C2">
        <w:rPr>
          <w:rFonts w:ascii="Arial" w:hAnsi="Arial" w:cs="Arial"/>
        </w:rPr>
        <w:t>week referral to treatmen</w:t>
      </w:r>
      <w:r w:rsidR="00815B02" w:rsidRPr="00815B02">
        <w:rPr>
          <w:rFonts w:ascii="Arial" w:hAnsi="Arial" w:cs="Arial"/>
        </w:rPr>
        <w:t xml:space="preserve">t </w:t>
      </w:r>
      <w:r w:rsidR="00C3149D" w:rsidRPr="006326C2">
        <w:rPr>
          <w:rFonts w:ascii="Arial" w:hAnsi="Arial" w:cs="Arial"/>
        </w:rPr>
        <w:t>pathways.</w:t>
      </w:r>
    </w:p>
    <w:p w14:paraId="513C26C6" w14:textId="77777777" w:rsidR="00815B02" w:rsidRDefault="00C32A5E" w:rsidP="006326C2">
      <w:pPr>
        <w:pStyle w:val="ListParagraph"/>
        <w:numPr>
          <w:ilvl w:val="0"/>
          <w:numId w:val="4"/>
        </w:numPr>
        <w:autoSpaceDE w:val="0"/>
        <w:autoSpaceDN w:val="0"/>
        <w:adjustRightInd w:val="0"/>
        <w:spacing w:after="0" w:line="240" w:lineRule="auto"/>
        <w:rPr>
          <w:rFonts w:ascii="Arial" w:hAnsi="Arial" w:cs="Arial"/>
        </w:rPr>
      </w:pPr>
      <w:r w:rsidRPr="006326C2">
        <w:rPr>
          <w:rFonts w:ascii="Arial" w:hAnsi="Arial" w:cs="Arial"/>
        </w:rPr>
        <w:t>Delays in urgent clinical cases should be kept t</w:t>
      </w:r>
      <w:r w:rsidR="00914793">
        <w:rPr>
          <w:rFonts w:ascii="Arial" w:hAnsi="Arial" w:cs="Arial"/>
        </w:rPr>
        <w:t>o a minimum (less than 2 weeks).</w:t>
      </w:r>
    </w:p>
    <w:p w14:paraId="0BA84FBA" w14:textId="77777777" w:rsidR="00815B02" w:rsidRDefault="00C32A5E" w:rsidP="006326C2">
      <w:pPr>
        <w:pStyle w:val="ListParagraph"/>
        <w:numPr>
          <w:ilvl w:val="0"/>
          <w:numId w:val="4"/>
        </w:numPr>
        <w:autoSpaceDE w:val="0"/>
        <w:autoSpaceDN w:val="0"/>
        <w:adjustRightInd w:val="0"/>
        <w:spacing w:after="0" w:line="240" w:lineRule="auto"/>
        <w:rPr>
          <w:rFonts w:ascii="Arial" w:hAnsi="Arial" w:cs="Arial"/>
        </w:rPr>
      </w:pPr>
      <w:r w:rsidRPr="006326C2">
        <w:rPr>
          <w:rFonts w:ascii="Arial" w:hAnsi="Arial" w:cs="Arial"/>
        </w:rPr>
        <w:t>Patients should be fully informed o</w:t>
      </w:r>
      <w:r w:rsidR="00226204">
        <w:rPr>
          <w:rFonts w:ascii="Arial" w:hAnsi="Arial" w:cs="Arial"/>
        </w:rPr>
        <w:t>f</w:t>
      </w:r>
      <w:r w:rsidRPr="006326C2">
        <w:rPr>
          <w:rFonts w:ascii="Arial" w:hAnsi="Arial" w:cs="Arial"/>
        </w:rPr>
        <w:t xml:space="preserve"> the process and the</w:t>
      </w:r>
      <w:r w:rsidR="00914793">
        <w:rPr>
          <w:rFonts w:ascii="Arial" w:hAnsi="Arial" w:cs="Arial"/>
        </w:rPr>
        <w:t xml:space="preserve"> role of their GP.</w:t>
      </w:r>
    </w:p>
    <w:p w14:paraId="53074539" w14:textId="01EE9AD1" w:rsidR="00190220" w:rsidRDefault="00D0647A" w:rsidP="006326C2">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C2C</w:t>
      </w:r>
      <w:r w:rsidR="00190220" w:rsidRPr="006326C2">
        <w:rPr>
          <w:rFonts w:ascii="Arial" w:hAnsi="Arial" w:cs="Arial"/>
        </w:rPr>
        <w:t xml:space="preserve"> referrals should be made by, or authorised by, the patient’s consultant and not a more junior member of staff. GPs working in the U</w:t>
      </w:r>
      <w:r w:rsidR="003F3CA4">
        <w:rPr>
          <w:rFonts w:ascii="Arial" w:hAnsi="Arial" w:cs="Arial"/>
        </w:rPr>
        <w:t xml:space="preserve">rgent </w:t>
      </w:r>
      <w:r w:rsidR="00190220" w:rsidRPr="006326C2">
        <w:rPr>
          <w:rFonts w:ascii="Arial" w:hAnsi="Arial" w:cs="Arial"/>
        </w:rPr>
        <w:t>C</w:t>
      </w:r>
      <w:r w:rsidR="003F3CA4">
        <w:rPr>
          <w:rFonts w:ascii="Arial" w:hAnsi="Arial" w:cs="Arial"/>
        </w:rPr>
        <w:t xml:space="preserve">are </w:t>
      </w:r>
      <w:r w:rsidR="00190220" w:rsidRPr="006326C2">
        <w:rPr>
          <w:rFonts w:ascii="Arial" w:hAnsi="Arial" w:cs="Arial"/>
        </w:rPr>
        <w:t>C</w:t>
      </w:r>
      <w:r w:rsidR="003F3CA4">
        <w:rPr>
          <w:rFonts w:ascii="Arial" w:hAnsi="Arial" w:cs="Arial"/>
        </w:rPr>
        <w:t>entres (UCC)</w:t>
      </w:r>
      <w:r w:rsidR="00190220" w:rsidRPr="006326C2">
        <w:rPr>
          <w:rFonts w:ascii="Arial" w:hAnsi="Arial" w:cs="Arial"/>
        </w:rPr>
        <w:t xml:space="preserve"> are allowed to refer independently to </w:t>
      </w:r>
      <w:r w:rsidR="007966FB" w:rsidRPr="006326C2">
        <w:rPr>
          <w:rFonts w:ascii="Arial" w:hAnsi="Arial" w:cs="Arial"/>
        </w:rPr>
        <w:t>consultants.</w:t>
      </w:r>
      <w:r w:rsidR="00D17D60">
        <w:rPr>
          <w:rFonts w:ascii="Arial" w:hAnsi="Arial" w:cs="Arial"/>
        </w:rPr>
        <w:t xml:space="preserve"> </w:t>
      </w:r>
      <w:r w:rsidR="00190220" w:rsidRPr="006326C2">
        <w:rPr>
          <w:rFonts w:ascii="Arial" w:hAnsi="Arial" w:cs="Arial"/>
        </w:rPr>
        <w:t>The policy does not cover consultant referrals to commissioned specialised care services.</w:t>
      </w:r>
    </w:p>
    <w:p w14:paraId="58F76D74" w14:textId="1A015479" w:rsidR="005A7868" w:rsidRDefault="00D0647A" w:rsidP="00881F1E">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C2C</w:t>
      </w:r>
      <w:r w:rsidR="005A7868" w:rsidRPr="00881F1E">
        <w:rPr>
          <w:rFonts w:ascii="Arial" w:hAnsi="Arial" w:cs="Arial"/>
        </w:rPr>
        <w:t xml:space="preserve"> referral</w:t>
      </w:r>
      <w:r w:rsidR="001D6B7F" w:rsidRPr="00881F1E">
        <w:rPr>
          <w:rFonts w:ascii="Arial" w:hAnsi="Arial" w:cs="Arial"/>
        </w:rPr>
        <w:t>s</w:t>
      </w:r>
      <w:r w:rsidR="005A7868" w:rsidRPr="00881F1E">
        <w:rPr>
          <w:rFonts w:ascii="Arial" w:hAnsi="Arial" w:cs="Arial"/>
        </w:rPr>
        <w:t xml:space="preserve"> for procedures of limited clinical effectiveness should be made in accordance with the threshold polic</w:t>
      </w:r>
      <w:r w:rsidR="00881F1E">
        <w:rPr>
          <w:rFonts w:ascii="Arial" w:hAnsi="Arial" w:cs="Arial"/>
        </w:rPr>
        <w:t>y.</w:t>
      </w:r>
    </w:p>
    <w:p w14:paraId="34165FE5" w14:textId="556A244C" w:rsidR="00EC66AB" w:rsidRPr="00881F1E" w:rsidRDefault="00EC66AB" w:rsidP="00EF3369">
      <w:pPr>
        <w:pStyle w:val="ListParagraph"/>
        <w:autoSpaceDE w:val="0"/>
        <w:autoSpaceDN w:val="0"/>
        <w:adjustRightInd w:val="0"/>
        <w:spacing w:after="0" w:line="240" w:lineRule="auto"/>
        <w:rPr>
          <w:rFonts w:ascii="Arial" w:hAnsi="Arial" w:cs="Arial"/>
        </w:rPr>
      </w:pPr>
    </w:p>
    <w:p w14:paraId="272EDB80" w14:textId="77777777" w:rsidR="00881F1E" w:rsidRDefault="00881F1E">
      <w:pPr>
        <w:rPr>
          <w:rFonts w:ascii="Arial" w:hAnsi="Arial" w:cs="Arial"/>
        </w:rPr>
      </w:pPr>
      <w:r>
        <w:rPr>
          <w:rFonts w:ascii="Arial" w:hAnsi="Arial" w:cs="Arial"/>
        </w:rPr>
        <w:br w:type="page"/>
      </w:r>
    </w:p>
    <w:p w14:paraId="4BA7879B" w14:textId="77777777" w:rsidR="00D17D60" w:rsidRPr="00190220" w:rsidRDefault="00D17D60" w:rsidP="007966FB">
      <w:pPr>
        <w:autoSpaceDE w:val="0"/>
        <w:autoSpaceDN w:val="0"/>
        <w:adjustRightInd w:val="0"/>
        <w:spacing w:after="0" w:line="240" w:lineRule="auto"/>
        <w:rPr>
          <w:rFonts w:ascii="Arial" w:hAnsi="Arial" w:cs="Arial"/>
        </w:rPr>
      </w:pPr>
    </w:p>
    <w:p w14:paraId="750A116F" w14:textId="5EFA6E05" w:rsidR="00190220" w:rsidRPr="002F7FB3" w:rsidRDefault="00190220" w:rsidP="00977E67">
      <w:pPr>
        <w:pStyle w:val="Heading1"/>
        <w:numPr>
          <w:ilvl w:val="0"/>
          <w:numId w:val="9"/>
        </w:numPr>
        <w:rPr>
          <w:b/>
          <w:bCs/>
          <w:color w:val="auto"/>
        </w:rPr>
      </w:pPr>
      <w:bookmarkStart w:id="1" w:name="_Toc121142919"/>
      <w:r w:rsidRPr="002F7FB3">
        <w:rPr>
          <w:b/>
          <w:bCs/>
          <w:color w:val="auto"/>
        </w:rPr>
        <w:t xml:space="preserve">Circumstances in which Consultant to Consultant referrals are </w:t>
      </w:r>
      <w:proofErr w:type="gramStart"/>
      <w:r w:rsidRPr="002F7FB3">
        <w:rPr>
          <w:b/>
          <w:bCs/>
          <w:color w:val="auto"/>
        </w:rPr>
        <w:t>appropriate</w:t>
      </w:r>
      <w:bookmarkEnd w:id="1"/>
      <w:proofErr w:type="gramEnd"/>
    </w:p>
    <w:p w14:paraId="1E4BBE25" w14:textId="77777777" w:rsidR="00131340" w:rsidRPr="00190220" w:rsidRDefault="00131340" w:rsidP="007966FB">
      <w:pPr>
        <w:autoSpaceDE w:val="0"/>
        <w:autoSpaceDN w:val="0"/>
        <w:adjustRightInd w:val="0"/>
        <w:spacing w:after="0" w:line="240" w:lineRule="auto"/>
        <w:rPr>
          <w:rFonts w:ascii="Arial" w:hAnsi="Arial" w:cs="Arial"/>
          <w:b/>
          <w:bCs/>
          <w:sz w:val="24"/>
          <w:szCs w:val="24"/>
        </w:rPr>
      </w:pPr>
    </w:p>
    <w:p w14:paraId="5ACA5DCB" w14:textId="475C023C" w:rsidR="00190220" w:rsidRPr="002E6A12" w:rsidRDefault="00190220" w:rsidP="00DA15C5">
      <w:pPr>
        <w:pStyle w:val="ListParagraph"/>
        <w:numPr>
          <w:ilvl w:val="1"/>
          <w:numId w:val="9"/>
        </w:numPr>
        <w:autoSpaceDE w:val="0"/>
        <w:autoSpaceDN w:val="0"/>
        <w:adjustRightInd w:val="0"/>
        <w:spacing w:after="0" w:line="240" w:lineRule="auto"/>
        <w:ind w:hanging="567"/>
        <w:rPr>
          <w:rFonts w:ascii="Arial" w:hAnsi="Arial" w:cs="Arial"/>
        </w:rPr>
      </w:pPr>
      <w:r w:rsidRPr="002E6A12">
        <w:rPr>
          <w:rFonts w:ascii="Arial" w:hAnsi="Arial" w:cs="Arial"/>
        </w:rPr>
        <w:t>Where specialist investigations or assessment</w:t>
      </w:r>
      <w:r w:rsidR="00881F1E" w:rsidRPr="002E6A12">
        <w:rPr>
          <w:rFonts w:ascii="Arial" w:hAnsi="Arial" w:cs="Arial"/>
        </w:rPr>
        <w:t>s</w:t>
      </w:r>
      <w:r w:rsidRPr="002E6A12">
        <w:rPr>
          <w:rFonts w:ascii="Arial" w:hAnsi="Arial" w:cs="Arial"/>
        </w:rPr>
        <w:t xml:space="preserve"> are needed as part of the diagnostic process of the initial presenting problem, for example a respiratory consultant concludes a patient</w:t>
      </w:r>
      <w:r w:rsidR="007966FB" w:rsidRPr="002E6A12">
        <w:rPr>
          <w:rFonts w:ascii="Arial" w:hAnsi="Arial" w:cs="Arial"/>
        </w:rPr>
        <w:t xml:space="preserve"> </w:t>
      </w:r>
      <w:r w:rsidRPr="002E6A12">
        <w:rPr>
          <w:rFonts w:ascii="Arial" w:hAnsi="Arial" w:cs="Arial"/>
        </w:rPr>
        <w:t>referred with a cough requires an endoscopy or a patient presenting to the accident and emergency department with a first fit who requires a neurology referral.</w:t>
      </w:r>
    </w:p>
    <w:p w14:paraId="207D121C" w14:textId="77777777" w:rsidR="00190220" w:rsidRPr="00190220" w:rsidRDefault="00190220" w:rsidP="00DA15C5">
      <w:pPr>
        <w:autoSpaceDE w:val="0"/>
        <w:autoSpaceDN w:val="0"/>
        <w:adjustRightInd w:val="0"/>
        <w:spacing w:after="0" w:line="240" w:lineRule="auto"/>
        <w:ind w:hanging="567"/>
        <w:rPr>
          <w:rFonts w:ascii="Arial" w:hAnsi="Arial" w:cs="Arial"/>
        </w:rPr>
      </w:pPr>
    </w:p>
    <w:p w14:paraId="412E60CD" w14:textId="77777777" w:rsidR="002E6A12" w:rsidRDefault="00190220" w:rsidP="00DA15C5">
      <w:pPr>
        <w:pStyle w:val="ListParagraph"/>
        <w:numPr>
          <w:ilvl w:val="1"/>
          <w:numId w:val="9"/>
        </w:numPr>
        <w:autoSpaceDE w:val="0"/>
        <w:autoSpaceDN w:val="0"/>
        <w:adjustRightInd w:val="0"/>
        <w:spacing w:after="0" w:line="240" w:lineRule="auto"/>
        <w:ind w:hanging="567"/>
        <w:rPr>
          <w:rFonts w:ascii="Arial" w:hAnsi="Arial" w:cs="Arial"/>
        </w:rPr>
      </w:pPr>
      <w:r w:rsidRPr="002E6A12">
        <w:rPr>
          <w:rFonts w:ascii="Arial" w:hAnsi="Arial" w:cs="Arial"/>
        </w:rPr>
        <w:t>Where further treatment</w:t>
      </w:r>
      <w:r w:rsidR="00131340" w:rsidRPr="002E6A12">
        <w:rPr>
          <w:rFonts w:ascii="Arial" w:hAnsi="Arial" w:cs="Arial"/>
        </w:rPr>
        <w:t>,</w:t>
      </w:r>
      <w:r w:rsidRPr="002E6A12">
        <w:rPr>
          <w:rFonts w:ascii="Arial" w:hAnsi="Arial" w:cs="Arial"/>
        </w:rPr>
        <w:t xml:space="preserve"> either medical or surgical</w:t>
      </w:r>
      <w:r w:rsidR="00131340" w:rsidRPr="002E6A12">
        <w:rPr>
          <w:rFonts w:ascii="Arial" w:hAnsi="Arial" w:cs="Arial"/>
        </w:rPr>
        <w:t>,</w:t>
      </w:r>
      <w:r w:rsidRPr="002E6A12">
        <w:rPr>
          <w:rFonts w:ascii="Arial" w:hAnsi="Arial" w:cs="Arial"/>
        </w:rPr>
        <w:t xml:space="preserve"> is needed for the condition for which the original referral was made, for example a spinal surgeon refers to the pain clinic when there</w:t>
      </w:r>
      <w:r w:rsidR="007966FB" w:rsidRPr="002E6A12">
        <w:rPr>
          <w:rFonts w:ascii="Arial" w:hAnsi="Arial" w:cs="Arial"/>
        </w:rPr>
        <w:t xml:space="preserve"> </w:t>
      </w:r>
      <w:r w:rsidRPr="002E6A12">
        <w:rPr>
          <w:rFonts w:ascii="Arial" w:hAnsi="Arial" w:cs="Arial"/>
        </w:rPr>
        <w:t>is unmanaged spinal pain despite community trialled analgesia and therapy and surgical intervention is not appropriate.</w:t>
      </w:r>
    </w:p>
    <w:p w14:paraId="2B4469C5" w14:textId="77777777" w:rsidR="002E6A12" w:rsidRPr="002E6A12" w:rsidRDefault="002E6A12" w:rsidP="00DA15C5">
      <w:pPr>
        <w:pStyle w:val="ListParagraph"/>
        <w:ind w:hanging="567"/>
        <w:rPr>
          <w:rFonts w:ascii="Arial" w:hAnsi="Arial" w:cs="Arial"/>
        </w:rPr>
      </w:pPr>
    </w:p>
    <w:p w14:paraId="433D75C5" w14:textId="26011ABF" w:rsidR="002E6A12" w:rsidRDefault="00190220" w:rsidP="00DA15C5">
      <w:pPr>
        <w:pStyle w:val="ListParagraph"/>
        <w:numPr>
          <w:ilvl w:val="1"/>
          <w:numId w:val="9"/>
        </w:numPr>
        <w:autoSpaceDE w:val="0"/>
        <w:autoSpaceDN w:val="0"/>
        <w:adjustRightInd w:val="0"/>
        <w:spacing w:after="0" w:line="240" w:lineRule="auto"/>
        <w:ind w:hanging="567"/>
        <w:rPr>
          <w:rFonts w:ascii="Arial" w:hAnsi="Arial" w:cs="Arial"/>
        </w:rPr>
      </w:pPr>
      <w:r w:rsidRPr="002E6A12">
        <w:rPr>
          <w:rFonts w:ascii="Arial" w:hAnsi="Arial" w:cs="Arial"/>
        </w:rPr>
        <w:t>Where unrelated serious or life</w:t>
      </w:r>
      <w:r w:rsidR="0093134A" w:rsidRPr="002E6A12">
        <w:rPr>
          <w:rFonts w:ascii="Arial" w:hAnsi="Arial" w:cs="Arial"/>
        </w:rPr>
        <w:t>-</w:t>
      </w:r>
      <w:r w:rsidRPr="002E6A12">
        <w:rPr>
          <w:rFonts w:ascii="Arial" w:hAnsi="Arial" w:cs="Arial"/>
        </w:rPr>
        <w:t xml:space="preserve">threatening conditions are uncovered </w:t>
      </w:r>
      <w:r w:rsidR="00C566D3">
        <w:rPr>
          <w:rFonts w:ascii="Arial" w:hAnsi="Arial" w:cs="Arial"/>
        </w:rPr>
        <w:t>during</w:t>
      </w:r>
      <w:r w:rsidRPr="002E6A12">
        <w:rPr>
          <w:rFonts w:ascii="Arial" w:hAnsi="Arial" w:cs="Arial"/>
        </w:rPr>
        <w:t xml:space="preserve"> the investigation of the presenting problem. This includes cancer or suspected cancer.</w:t>
      </w:r>
      <w:r w:rsidR="00792325" w:rsidRPr="002E6A12">
        <w:rPr>
          <w:rFonts w:ascii="Arial" w:hAnsi="Arial" w:cs="Arial"/>
        </w:rPr>
        <w:t xml:space="preserve"> </w:t>
      </w:r>
      <w:r w:rsidRPr="002E6A12">
        <w:rPr>
          <w:rFonts w:ascii="Arial" w:hAnsi="Arial" w:cs="Arial"/>
        </w:rPr>
        <w:t>A referral</w:t>
      </w:r>
      <w:r w:rsidR="007966FB" w:rsidRPr="002E6A12">
        <w:rPr>
          <w:rFonts w:ascii="Arial" w:hAnsi="Arial" w:cs="Arial"/>
        </w:rPr>
        <w:t xml:space="preserve"> </w:t>
      </w:r>
      <w:r w:rsidRPr="002E6A12">
        <w:rPr>
          <w:rFonts w:ascii="Arial" w:hAnsi="Arial" w:cs="Arial"/>
        </w:rPr>
        <w:t>should be made by the consultant to an appropriate further specialist with the necessary degree of urgency.</w:t>
      </w:r>
    </w:p>
    <w:p w14:paraId="27DBCD00" w14:textId="77777777" w:rsidR="002E6A12" w:rsidRPr="002E6A12" w:rsidRDefault="002E6A12" w:rsidP="00DA15C5">
      <w:pPr>
        <w:pStyle w:val="ListParagraph"/>
        <w:ind w:hanging="567"/>
        <w:rPr>
          <w:rFonts w:ascii="Arial" w:hAnsi="Arial" w:cs="Arial"/>
        </w:rPr>
      </w:pPr>
    </w:p>
    <w:p w14:paraId="48E465DD" w14:textId="77777777" w:rsidR="002E6A12" w:rsidRDefault="00190220" w:rsidP="00DA15C5">
      <w:pPr>
        <w:pStyle w:val="ListParagraph"/>
        <w:numPr>
          <w:ilvl w:val="1"/>
          <w:numId w:val="9"/>
        </w:numPr>
        <w:autoSpaceDE w:val="0"/>
        <w:autoSpaceDN w:val="0"/>
        <w:adjustRightInd w:val="0"/>
        <w:spacing w:after="0" w:line="240" w:lineRule="auto"/>
        <w:ind w:hanging="567"/>
        <w:rPr>
          <w:rFonts w:ascii="Arial" w:hAnsi="Arial" w:cs="Arial"/>
        </w:rPr>
      </w:pPr>
      <w:r w:rsidRPr="002E6A12">
        <w:rPr>
          <w:rFonts w:ascii="Arial" w:hAnsi="Arial" w:cs="Arial"/>
        </w:rPr>
        <w:t>When a patient with a chronic condition requires the involvement of clinicians from different disciplines within the Trust to work together as a team to manage their condition, for example diabetic patients requiring renal or ophthalmology advice, heart failure patients with significant renal impairment requiring cardiology and renal teams to manage their care.</w:t>
      </w:r>
    </w:p>
    <w:p w14:paraId="7D24B76F" w14:textId="77777777" w:rsidR="002E6A12" w:rsidRPr="002E6A12" w:rsidRDefault="002E6A12" w:rsidP="00DA15C5">
      <w:pPr>
        <w:pStyle w:val="ListParagraph"/>
        <w:ind w:hanging="567"/>
        <w:rPr>
          <w:rFonts w:ascii="Arial" w:hAnsi="Arial" w:cs="Arial"/>
        </w:rPr>
      </w:pPr>
    </w:p>
    <w:p w14:paraId="18F05149" w14:textId="77777777" w:rsidR="002E6A12" w:rsidRDefault="00190220" w:rsidP="00DA15C5">
      <w:pPr>
        <w:pStyle w:val="ListParagraph"/>
        <w:numPr>
          <w:ilvl w:val="1"/>
          <w:numId w:val="9"/>
        </w:numPr>
        <w:autoSpaceDE w:val="0"/>
        <w:autoSpaceDN w:val="0"/>
        <w:adjustRightInd w:val="0"/>
        <w:spacing w:after="0" w:line="240" w:lineRule="auto"/>
        <w:ind w:hanging="567"/>
        <w:rPr>
          <w:rFonts w:ascii="Arial" w:hAnsi="Arial" w:cs="Arial"/>
        </w:rPr>
      </w:pPr>
      <w:r w:rsidRPr="002E6A12">
        <w:rPr>
          <w:rFonts w:ascii="Arial" w:hAnsi="Arial" w:cs="Arial"/>
        </w:rPr>
        <w:t>When surgical patients require a medical opinion prior to surgery</w:t>
      </w:r>
      <w:r w:rsidR="00131340" w:rsidRPr="002E6A12">
        <w:rPr>
          <w:rFonts w:ascii="Arial" w:hAnsi="Arial" w:cs="Arial"/>
        </w:rPr>
        <w:t xml:space="preserve">, </w:t>
      </w:r>
      <w:r w:rsidRPr="002E6A12">
        <w:rPr>
          <w:rFonts w:ascii="Arial" w:hAnsi="Arial" w:cs="Arial"/>
        </w:rPr>
        <w:t xml:space="preserve">for example a patient </w:t>
      </w:r>
      <w:r w:rsidR="00706818" w:rsidRPr="002E6A12">
        <w:rPr>
          <w:rFonts w:ascii="Arial" w:hAnsi="Arial" w:cs="Arial"/>
        </w:rPr>
        <w:t xml:space="preserve">with </w:t>
      </w:r>
      <w:r w:rsidRPr="002E6A12">
        <w:rPr>
          <w:rFonts w:ascii="Arial" w:hAnsi="Arial" w:cs="Arial"/>
        </w:rPr>
        <w:t>known significant cardiac conditions where surgery or the anaesthetic could be a risk.</w:t>
      </w:r>
      <w:r w:rsidR="00131340" w:rsidRPr="002E6A12">
        <w:rPr>
          <w:rFonts w:ascii="Arial" w:hAnsi="Arial" w:cs="Arial"/>
        </w:rPr>
        <w:t xml:space="preserve"> Therefore</w:t>
      </w:r>
      <w:r w:rsidR="00D528BE" w:rsidRPr="002E6A12">
        <w:rPr>
          <w:rFonts w:ascii="Arial" w:hAnsi="Arial" w:cs="Arial"/>
        </w:rPr>
        <w:t>,</w:t>
      </w:r>
      <w:r w:rsidR="00131340" w:rsidRPr="002E6A12">
        <w:rPr>
          <w:rFonts w:ascii="Arial" w:hAnsi="Arial" w:cs="Arial"/>
        </w:rPr>
        <w:t xml:space="preserve"> referrals d</w:t>
      </w:r>
      <w:r w:rsidR="00914793" w:rsidRPr="002E6A12">
        <w:rPr>
          <w:rFonts w:ascii="Arial" w:hAnsi="Arial" w:cs="Arial"/>
        </w:rPr>
        <w:t>irectly related to the patient’s</w:t>
      </w:r>
      <w:r w:rsidR="00131340" w:rsidRPr="002E6A12">
        <w:rPr>
          <w:rFonts w:ascii="Arial" w:hAnsi="Arial" w:cs="Arial"/>
        </w:rPr>
        <w:t xml:space="preserve"> suitability to undergo a general </w:t>
      </w:r>
      <w:r w:rsidR="00226204" w:rsidRPr="002E6A12">
        <w:rPr>
          <w:rFonts w:ascii="Arial" w:hAnsi="Arial" w:cs="Arial"/>
        </w:rPr>
        <w:t>anaesthesia</w:t>
      </w:r>
      <w:r w:rsidR="00131340" w:rsidRPr="002E6A12">
        <w:rPr>
          <w:rFonts w:ascii="Arial" w:hAnsi="Arial" w:cs="Arial"/>
        </w:rPr>
        <w:t xml:space="preserve"> </w:t>
      </w:r>
      <w:r w:rsidR="00914793" w:rsidRPr="002E6A12">
        <w:rPr>
          <w:rFonts w:ascii="Arial" w:hAnsi="Arial" w:cs="Arial"/>
        </w:rPr>
        <w:t>where necessary.</w:t>
      </w:r>
    </w:p>
    <w:p w14:paraId="566B2D9E" w14:textId="77777777" w:rsidR="002E6A12" w:rsidRPr="002E6A12" w:rsidRDefault="002E6A12" w:rsidP="00DA15C5">
      <w:pPr>
        <w:pStyle w:val="ListParagraph"/>
        <w:ind w:hanging="567"/>
        <w:rPr>
          <w:rFonts w:ascii="Arial" w:hAnsi="Arial" w:cs="Arial"/>
        </w:rPr>
      </w:pPr>
    </w:p>
    <w:p w14:paraId="3AFDFB3C" w14:textId="77777777" w:rsidR="002E6A12" w:rsidRDefault="00190220" w:rsidP="00DA15C5">
      <w:pPr>
        <w:pStyle w:val="ListParagraph"/>
        <w:numPr>
          <w:ilvl w:val="1"/>
          <w:numId w:val="9"/>
        </w:numPr>
        <w:autoSpaceDE w:val="0"/>
        <w:autoSpaceDN w:val="0"/>
        <w:adjustRightInd w:val="0"/>
        <w:spacing w:after="0" w:line="240" w:lineRule="auto"/>
        <w:ind w:hanging="567"/>
        <w:rPr>
          <w:rFonts w:ascii="Arial" w:hAnsi="Arial" w:cs="Arial"/>
        </w:rPr>
      </w:pPr>
      <w:r w:rsidRPr="002E6A12">
        <w:rPr>
          <w:rFonts w:ascii="Arial" w:hAnsi="Arial" w:cs="Arial"/>
        </w:rPr>
        <w:t>Where a patient has a second medical condition which requires treating to enable treatment of the referred condition for example when a patient has both glaucoma and cataracts.</w:t>
      </w:r>
    </w:p>
    <w:p w14:paraId="3C9BEDC3" w14:textId="77777777" w:rsidR="002E6A12" w:rsidRPr="002E6A12" w:rsidRDefault="002E6A12" w:rsidP="00DA15C5">
      <w:pPr>
        <w:pStyle w:val="ListParagraph"/>
        <w:ind w:hanging="567"/>
        <w:rPr>
          <w:rFonts w:ascii="Arial" w:hAnsi="Arial" w:cs="Arial"/>
        </w:rPr>
      </w:pPr>
    </w:p>
    <w:p w14:paraId="27D0D23F" w14:textId="77777777" w:rsidR="002E6A12" w:rsidRDefault="00131340" w:rsidP="00DA15C5">
      <w:pPr>
        <w:pStyle w:val="ListParagraph"/>
        <w:numPr>
          <w:ilvl w:val="1"/>
          <w:numId w:val="9"/>
        </w:numPr>
        <w:autoSpaceDE w:val="0"/>
        <w:autoSpaceDN w:val="0"/>
        <w:adjustRightInd w:val="0"/>
        <w:spacing w:after="0" w:line="240" w:lineRule="auto"/>
        <w:ind w:hanging="567"/>
        <w:rPr>
          <w:rFonts w:ascii="Arial" w:hAnsi="Arial" w:cs="Arial"/>
        </w:rPr>
      </w:pPr>
      <w:r w:rsidRPr="002E6A12">
        <w:rPr>
          <w:rFonts w:ascii="Arial" w:hAnsi="Arial" w:cs="Arial"/>
        </w:rPr>
        <w:t>For investigation, management or treatment of cancer, or suspected cancer in line</w:t>
      </w:r>
      <w:r w:rsidR="00D17D60" w:rsidRPr="002E6A12">
        <w:rPr>
          <w:rFonts w:ascii="Arial" w:hAnsi="Arial" w:cs="Arial"/>
        </w:rPr>
        <w:t xml:space="preserve"> </w:t>
      </w:r>
      <w:r w:rsidRPr="002E6A12">
        <w:rPr>
          <w:rFonts w:ascii="Arial" w:hAnsi="Arial" w:cs="Arial"/>
        </w:rPr>
        <w:t>with Cance</w:t>
      </w:r>
      <w:r w:rsidR="00914793" w:rsidRPr="002E6A12">
        <w:rPr>
          <w:rFonts w:ascii="Arial" w:hAnsi="Arial" w:cs="Arial"/>
        </w:rPr>
        <w:t>r Network criteria for referral.</w:t>
      </w:r>
    </w:p>
    <w:p w14:paraId="111E758F" w14:textId="77777777" w:rsidR="002E6A12" w:rsidRPr="002E6A12" w:rsidRDefault="002E6A12" w:rsidP="00DA15C5">
      <w:pPr>
        <w:pStyle w:val="ListParagraph"/>
        <w:ind w:hanging="567"/>
        <w:rPr>
          <w:rFonts w:ascii="Arial" w:hAnsi="Arial" w:cs="Arial"/>
        </w:rPr>
      </w:pPr>
    </w:p>
    <w:p w14:paraId="0E81DA7D" w14:textId="77777777" w:rsidR="002E6A12" w:rsidRDefault="001627F7" w:rsidP="00DA15C5">
      <w:pPr>
        <w:pStyle w:val="ListParagraph"/>
        <w:numPr>
          <w:ilvl w:val="1"/>
          <w:numId w:val="9"/>
        </w:numPr>
        <w:autoSpaceDE w:val="0"/>
        <w:autoSpaceDN w:val="0"/>
        <w:adjustRightInd w:val="0"/>
        <w:spacing w:after="0" w:line="240" w:lineRule="auto"/>
        <w:ind w:hanging="567"/>
        <w:rPr>
          <w:rFonts w:ascii="Arial" w:hAnsi="Arial" w:cs="Arial"/>
        </w:rPr>
      </w:pPr>
      <w:r w:rsidRPr="002E6A12">
        <w:rPr>
          <w:rFonts w:ascii="Arial" w:hAnsi="Arial" w:cs="Arial"/>
        </w:rPr>
        <w:t>Where there exist</w:t>
      </w:r>
      <w:r w:rsidR="00706818" w:rsidRPr="002E6A12">
        <w:rPr>
          <w:rFonts w:ascii="Arial" w:hAnsi="Arial" w:cs="Arial"/>
        </w:rPr>
        <w:t>s</w:t>
      </w:r>
      <w:r w:rsidRPr="002E6A12">
        <w:rPr>
          <w:rFonts w:ascii="Arial" w:hAnsi="Arial" w:cs="Arial"/>
        </w:rPr>
        <w:t xml:space="preserve"> suspected adult or child safeguarding concerns.</w:t>
      </w:r>
    </w:p>
    <w:p w14:paraId="26A7AD53" w14:textId="77777777" w:rsidR="002E6A12" w:rsidRPr="002E6A12" w:rsidRDefault="002E6A12" w:rsidP="00DA15C5">
      <w:pPr>
        <w:pStyle w:val="ListParagraph"/>
        <w:ind w:hanging="567"/>
        <w:rPr>
          <w:rFonts w:ascii="Arial" w:hAnsi="Arial" w:cs="Arial"/>
        </w:rPr>
      </w:pPr>
    </w:p>
    <w:p w14:paraId="03B0BB7F" w14:textId="77777777" w:rsidR="00DA15C5" w:rsidRDefault="00761850" w:rsidP="00DA15C5">
      <w:pPr>
        <w:pStyle w:val="ListParagraph"/>
        <w:numPr>
          <w:ilvl w:val="1"/>
          <w:numId w:val="9"/>
        </w:numPr>
        <w:autoSpaceDE w:val="0"/>
        <w:autoSpaceDN w:val="0"/>
        <w:adjustRightInd w:val="0"/>
        <w:spacing w:after="0" w:line="240" w:lineRule="auto"/>
        <w:ind w:hanging="567"/>
        <w:rPr>
          <w:rFonts w:ascii="Arial" w:hAnsi="Arial" w:cs="Arial"/>
        </w:rPr>
      </w:pPr>
      <w:r w:rsidRPr="002E6A12">
        <w:rPr>
          <w:rFonts w:ascii="Arial" w:hAnsi="Arial" w:cs="Arial"/>
        </w:rPr>
        <w:t>Where a patient needs to be seen by a consultant at another centre if the specialist skills are not available within the Trust.</w:t>
      </w:r>
    </w:p>
    <w:p w14:paraId="2E15A8BE" w14:textId="77777777" w:rsidR="00DA15C5" w:rsidRPr="00DA15C5" w:rsidRDefault="00DA15C5" w:rsidP="00DA15C5">
      <w:pPr>
        <w:pStyle w:val="ListParagraph"/>
        <w:ind w:hanging="567"/>
        <w:rPr>
          <w:rFonts w:ascii="Arial" w:hAnsi="Arial" w:cs="Arial"/>
        </w:rPr>
      </w:pPr>
    </w:p>
    <w:p w14:paraId="4A2A0E3E" w14:textId="212E2E3E" w:rsidR="0093134A" w:rsidRPr="00DA15C5" w:rsidRDefault="00123C39" w:rsidP="00DA15C5">
      <w:pPr>
        <w:pStyle w:val="ListParagraph"/>
        <w:numPr>
          <w:ilvl w:val="1"/>
          <w:numId w:val="9"/>
        </w:numPr>
        <w:autoSpaceDE w:val="0"/>
        <w:autoSpaceDN w:val="0"/>
        <w:adjustRightInd w:val="0"/>
        <w:spacing w:after="0" w:line="240" w:lineRule="auto"/>
        <w:ind w:hanging="567"/>
        <w:rPr>
          <w:rFonts w:ascii="Arial" w:hAnsi="Arial" w:cs="Arial"/>
        </w:rPr>
      </w:pPr>
      <w:r w:rsidRPr="00DA15C5">
        <w:rPr>
          <w:rFonts w:ascii="Arial" w:hAnsi="Arial" w:cs="Arial"/>
        </w:rPr>
        <w:t>When a patient has been seen privately subsequently wishes to transfer to NHS care</w:t>
      </w:r>
      <w:r w:rsidR="00945C74" w:rsidRPr="00DA15C5">
        <w:rPr>
          <w:rFonts w:ascii="Arial" w:hAnsi="Arial" w:cs="Arial"/>
        </w:rPr>
        <w:t xml:space="preserve"> for treatment</w:t>
      </w:r>
      <w:r w:rsidR="00A22B41" w:rsidRPr="00DA15C5">
        <w:rPr>
          <w:rFonts w:ascii="Arial" w:hAnsi="Arial" w:cs="Arial"/>
        </w:rPr>
        <w:t>, but not diagnostics.</w:t>
      </w:r>
    </w:p>
    <w:p w14:paraId="192D7963" w14:textId="77777777" w:rsidR="00190220" w:rsidRDefault="00190220" w:rsidP="007966FB">
      <w:pPr>
        <w:autoSpaceDE w:val="0"/>
        <w:autoSpaceDN w:val="0"/>
        <w:adjustRightInd w:val="0"/>
        <w:spacing w:after="0" w:line="240" w:lineRule="auto"/>
        <w:rPr>
          <w:rFonts w:ascii="Arial" w:hAnsi="Arial" w:cs="Arial"/>
          <w:b/>
          <w:bCs/>
        </w:rPr>
      </w:pPr>
    </w:p>
    <w:p w14:paraId="0096777A" w14:textId="136BE157" w:rsidR="00190220" w:rsidRPr="00175036" w:rsidRDefault="00190220" w:rsidP="00175036">
      <w:pPr>
        <w:pStyle w:val="Heading1"/>
        <w:numPr>
          <w:ilvl w:val="0"/>
          <w:numId w:val="9"/>
        </w:numPr>
        <w:rPr>
          <w:b/>
          <w:bCs/>
        </w:rPr>
      </w:pPr>
      <w:bookmarkStart w:id="2" w:name="_Toc121142920"/>
      <w:r w:rsidRPr="00175036">
        <w:rPr>
          <w:b/>
          <w:bCs/>
          <w:color w:val="auto"/>
        </w:rPr>
        <w:lastRenderedPageBreak/>
        <w:t xml:space="preserve">Circumstances in which Consultant to Consultant referrals </w:t>
      </w:r>
      <w:r w:rsidRPr="00175036">
        <w:rPr>
          <w:b/>
          <w:bCs/>
          <w:color w:val="auto"/>
          <w:u w:val="single"/>
        </w:rPr>
        <w:t>are not</w:t>
      </w:r>
      <w:r w:rsidRPr="00175036">
        <w:rPr>
          <w:b/>
          <w:bCs/>
          <w:color w:val="auto"/>
        </w:rPr>
        <w:t xml:space="preserve"> </w:t>
      </w:r>
      <w:proofErr w:type="gramStart"/>
      <w:r w:rsidRPr="00175036">
        <w:rPr>
          <w:b/>
          <w:bCs/>
          <w:color w:val="auto"/>
        </w:rPr>
        <w:t>appropriate</w:t>
      </w:r>
      <w:bookmarkEnd w:id="2"/>
      <w:proofErr w:type="gramEnd"/>
    </w:p>
    <w:p w14:paraId="277232C0" w14:textId="77777777" w:rsidR="00131340" w:rsidRPr="00190220" w:rsidRDefault="00131340" w:rsidP="007966FB">
      <w:pPr>
        <w:autoSpaceDE w:val="0"/>
        <w:autoSpaceDN w:val="0"/>
        <w:adjustRightInd w:val="0"/>
        <w:spacing w:after="0" w:line="240" w:lineRule="auto"/>
        <w:rPr>
          <w:rFonts w:ascii="Arial" w:hAnsi="Arial" w:cs="Arial"/>
          <w:b/>
          <w:bCs/>
          <w:sz w:val="24"/>
          <w:szCs w:val="24"/>
        </w:rPr>
      </w:pPr>
    </w:p>
    <w:p w14:paraId="52521600" w14:textId="7024FCD3" w:rsidR="00175036" w:rsidRDefault="00190220" w:rsidP="00175036">
      <w:pPr>
        <w:pStyle w:val="ListParagraph"/>
        <w:numPr>
          <w:ilvl w:val="1"/>
          <w:numId w:val="9"/>
        </w:numPr>
        <w:autoSpaceDE w:val="0"/>
        <w:autoSpaceDN w:val="0"/>
        <w:adjustRightInd w:val="0"/>
        <w:spacing w:after="0" w:line="240" w:lineRule="auto"/>
        <w:ind w:hanging="567"/>
        <w:rPr>
          <w:rFonts w:ascii="Arial" w:hAnsi="Arial" w:cs="Arial"/>
        </w:rPr>
      </w:pPr>
      <w:r w:rsidRPr="00175036">
        <w:rPr>
          <w:rFonts w:ascii="Arial" w:hAnsi="Arial" w:cs="Arial"/>
        </w:rPr>
        <w:t>When incidental symptoms or clinical conditions are found unrelated to the presenting clinical problem that do not require urgent action or that can be dealt with by the primary care team, the consultant should refer these back to the patient’s GP.</w:t>
      </w:r>
    </w:p>
    <w:p w14:paraId="56040DEF" w14:textId="77777777" w:rsidR="00175036" w:rsidRDefault="00175036" w:rsidP="00175036">
      <w:pPr>
        <w:pStyle w:val="ListParagraph"/>
        <w:autoSpaceDE w:val="0"/>
        <w:autoSpaceDN w:val="0"/>
        <w:adjustRightInd w:val="0"/>
        <w:spacing w:after="0" w:line="240" w:lineRule="auto"/>
        <w:rPr>
          <w:rFonts w:ascii="Arial" w:hAnsi="Arial" w:cs="Arial"/>
        </w:rPr>
      </w:pPr>
    </w:p>
    <w:p w14:paraId="4B558769" w14:textId="749762C3" w:rsidR="00175036" w:rsidRDefault="00190220" w:rsidP="00175036">
      <w:pPr>
        <w:pStyle w:val="ListParagraph"/>
        <w:numPr>
          <w:ilvl w:val="1"/>
          <w:numId w:val="9"/>
        </w:numPr>
        <w:autoSpaceDE w:val="0"/>
        <w:autoSpaceDN w:val="0"/>
        <w:adjustRightInd w:val="0"/>
        <w:spacing w:after="0" w:line="240" w:lineRule="auto"/>
        <w:ind w:hanging="567"/>
        <w:rPr>
          <w:rFonts w:ascii="Arial" w:hAnsi="Arial" w:cs="Arial"/>
        </w:rPr>
      </w:pPr>
      <w:r w:rsidRPr="00175036">
        <w:rPr>
          <w:rFonts w:ascii="Arial" w:hAnsi="Arial" w:cs="Arial"/>
        </w:rPr>
        <w:t>When surgical patients require improvement in control of</w:t>
      </w:r>
      <w:r w:rsidR="008C4ACC" w:rsidRPr="00175036">
        <w:rPr>
          <w:rFonts w:ascii="Arial" w:hAnsi="Arial" w:cs="Arial"/>
        </w:rPr>
        <w:t xml:space="preserve"> </w:t>
      </w:r>
      <w:r w:rsidRPr="00175036">
        <w:rPr>
          <w:rFonts w:ascii="Arial" w:hAnsi="Arial" w:cs="Arial"/>
        </w:rPr>
        <w:t>medical conditions usually dealt with by their GP for example</w:t>
      </w:r>
      <w:r w:rsidR="008C4ACC" w:rsidRPr="00175036">
        <w:rPr>
          <w:rFonts w:ascii="Arial" w:hAnsi="Arial" w:cs="Arial"/>
        </w:rPr>
        <w:t xml:space="preserve"> </w:t>
      </w:r>
      <w:r w:rsidRPr="00175036">
        <w:rPr>
          <w:rFonts w:ascii="Arial" w:hAnsi="Arial" w:cs="Arial"/>
        </w:rPr>
        <w:t xml:space="preserve">hypertension or diabetes, they should be </w:t>
      </w:r>
      <w:proofErr w:type="gramStart"/>
      <w:r w:rsidRPr="00175036">
        <w:rPr>
          <w:rFonts w:ascii="Arial" w:hAnsi="Arial" w:cs="Arial"/>
        </w:rPr>
        <w:t>referred back</w:t>
      </w:r>
      <w:proofErr w:type="gramEnd"/>
      <w:r w:rsidRPr="00175036">
        <w:rPr>
          <w:rFonts w:ascii="Arial" w:hAnsi="Arial" w:cs="Arial"/>
        </w:rPr>
        <w:t xml:space="preserve"> to their</w:t>
      </w:r>
      <w:r w:rsidR="008C4ACC" w:rsidRPr="00175036">
        <w:rPr>
          <w:rFonts w:ascii="Arial" w:hAnsi="Arial" w:cs="Arial"/>
        </w:rPr>
        <w:t xml:space="preserve"> </w:t>
      </w:r>
      <w:r w:rsidRPr="00175036">
        <w:rPr>
          <w:rFonts w:ascii="Arial" w:hAnsi="Arial" w:cs="Arial"/>
        </w:rPr>
        <w:t>GP for management of these conditions.</w:t>
      </w:r>
    </w:p>
    <w:p w14:paraId="6EB4C3FB" w14:textId="77777777" w:rsidR="00175036" w:rsidRDefault="00175036" w:rsidP="00175036">
      <w:pPr>
        <w:pStyle w:val="ListParagraph"/>
        <w:autoSpaceDE w:val="0"/>
        <w:autoSpaceDN w:val="0"/>
        <w:adjustRightInd w:val="0"/>
        <w:spacing w:after="0" w:line="240" w:lineRule="auto"/>
        <w:rPr>
          <w:rFonts w:ascii="Arial" w:hAnsi="Arial" w:cs="Arial"/>
        </w:rPr>
      </w:pPr>
    </w:p>
    <w:p w14:paraId="19730117" w14:textId="6D9BE733" w:rsidR="00175036" w:rsidRPr="00175036" w:rsidRDefault="0094423B" w:rsidP="00175036">
      <w:pPr>
        <w:pStyle w:val="ListParagraph"/>
        <w:numPr>
          <w:ilvl w:val="1"/>
          <w:numId w:val="9"/>
        </w:numPr>
        <w:autoSpaceDE w:val="0"/>
        <w:autoSpaceDN w:val="0"/>
        <w:adjustRightInd w:val="0"/>
        <w:spacing w:after="0" w:line="240" w:lineRule="auto"/>
        <w:ind w:hanging="567"/>
        <w:rPr>
          <w:rFonts w:ascii="Arial" w:hAnsi="Arial" w:cs="Arial"/>
        </w:rPr>
      </w:pPr>
      <w:r w:rsidRPr="00175036">
        <w:rPr>
          <w:rFonts w:ascii="Arial" w:hAnsi="Arial" w:cs="Arial"/>
          <w:szCs w:val="24"/>
        </w:rPr>
        <w:t>When an inpatient develops a condition not related to the reason for admission and the condition is not of an urgent nature (</w:t>
      </w:r>
      <w:r w:rsidR="00B42C16" w:rsidRPr="00175036">
        <w:rPr>
          <w:rFonts w:ascii="Arial" w:hAnsi="Arial" w:cs="Arial"/>
          <w:szCs w:val="24"/>
        </w:rPr>
        <w:t>i.e.,</w:t>
      </w:r>
      <w:r w:rsidRPr="00175036">
        <w:rPr>
          <w:rFonts w:ascii="Arial" w:hAnsi="Arial" w:cs="Arial"/>
          <w:szCs w:val="24"/>
        </w:rPr>
        <w:t xml:space="preserve"> does not meet the two week</w:t>
      </w:r>
      <w:r w:rsidR="00B42C16">
        <w:rPr>
          <w:rFonts w:ascii="Arial" w:hAnsi="Arial" w:cs="Arial"/>
          <w:szCs w:val="24"/>
        </w:rPr>
        <w:t>-</w:t>
      </w:r>
      <w:r w:rsidRPr="00175036">
        <w:rPr>
          <w:rFonts w:ascii="Arial" w:hAnsi="Arial" w:cs="Arial"/>
          <w:szCs w:val="24"/>
        </w:rPr>
        <w:t>wait criterion or patient has had symptoms for more than 2 weeks), the condition should be noted in the discharge summary and the patient should be advised to see their own GP following their discharge.</w:t>
      </w:r>
    </w:p>
    <w:p w14:paraId="78BADDFC" w14:textId="77777777" w:rsidR="00175036" w:rsidRPr="00175036" w:rsidRDefault="00175036" w:rsidP="00175036">
      <w:pPr>
        <w:pStyle w:val="ListParagraph"/>
        <w:autoSpaceDE w:val="0"/>
        <w:autoSpaceDN w:val="0"/>
        <w:adjustRightInd w:val="0"/>
        <w:spacing w:after="0" w:line="240" w:lineRule="auto"/>
        <w:rPr>
          <w:rFonts w:ascii="Arial" w:hAnsi="Arial" w:cs="Arial"/>
        </w:rPr>
      </w:pPr>
    </w:p>
    <w:p w14:paraId="0149328D" w14:textId="33E2FCF1" w:rsidR="00175036" w:rsidRDefault="00266C8D" w:rsidP="00175036">
      <w:pPr>
        <w:pStyle w:val="ListParagraph"/>
        <w:numPr>
          <w:ilvl w:val="1"/>
          <w:numId w:val="9"/>
        </w:numPr>
        <w:autoSpaceDE w:val="0"/>
        <w:autoSpaceDN w:val="0"/>
        <w:adjustRightInd w:val="0"/>
        <w:spacing w:after="0" w:line="240" w:lineRule="auto"/>
        <w:ind w:hanging="567"/>
        <w:rPr>
          <w:rFonts w:ascii="Arial" w:hAnsi="Arial" w:cs="Arial"/>
        </w:rPr>
      </w:pPr>
      <w:r w:rsidRPr="00175036">
        <w:rPr>
          <w:rFonts w:ascii="Arial" w:hAnsi="Arial" w:cs="Arial"/>
        </w:rPr>
        <w:t>No Accident and Emergency outpatient referrals other than those to fracture clinic or</w:t>
      </w:r>
      <w:r w:rsidR="00A14F4F" w:rsidRPr="00175036">
        <w:rPr>
          <w:rFonts w:ascii="Arial" w:hAnsi="Arial" w:cs="Arial"/>
        </w:rPr>
        <w:t xml:space="preserve"> where otherwise defined as </w:t>
      </w:r>
      <w:r w:rsidR="00AC4A2E" w:rsidRPr="00175036">
        <w:rPr>
          <w:rFonts w:ascii="Arial" w:hAnsi="Arial" w:cs="Arial"/>
        </w:rPr>
        <w:t>urgent and</w:t>
      </w:r>
      <w:r w:rsidR="00A14F4F" w:rsidRPr="00175036">
        <w:rPr>
          <w:rFonts w:ascii="Arial" w:hAnsi="Arial" w:cs="Arial"/>
        </w:rPr>
        <w:t xml:space="preserve">/or </w:t>
      </w:r>
      <w:r w:rsidR="008B7F6D" w:rsidRPr="00175036">
        <w:rPr>
          <w:rFonts w:ascii="Arial" w:hAnsi="Arial" w:cs="Arial"/>
        </w:rPr>
        <w:t xml:space="preserve">as part of a </w:t>
      </w:r>
      <w:r w:rsidR="00A14F4F" w:rsidRPr="00175036">
        <w:rPr>
          <w:rFonts w:ascii="Arial" w:hAnsi="Arial" w:cs="Arial"/>
        </w:rPr>
        <w:t>commissioned</w:t>
      </w:r>
      <w:r w:rsidR="008B7F6D" w:rsidRPr="00175036">
        <w:rPr>
          <w:rFonts w:ascii="Arial" w:hAnsi="Arial" w:cs="Arial"/>
        </w:rPr>
        <w:t xml:space="preserve"> pathway.</w:t>
      </w:r>
      <w:r w:rsidR="00AC4A2E" w:rsidRPr="00175036">
        <w:rPr>
          <w:rFonts w:ascii="Arial" w:hAnsi="Arial" w:cs="Arial"/>
        </w:rPr>
        <w:t xml:space="preserve">   </w:t>
      </w:r>
    </w:p>
    <w:p w14:paraId="260E6EB6" w14:textId="77777777" w:rsidR="00175036" w:rsidRDefault="00175036" w:rsidP="00175036">
      <w:pPr>
        <w:pStyle w:val="ListParagraph"/>
        <w:autoSpaceDE w:val="0"/>
        <w:autoSpaceDN w:val="0"/>
        <w:adjustRightInd w:val="0"/>
        <w:spacing w:after="0" w:line="240" w:lineRule="auto"/>
        <w:rPr>
          <w:rFonts w:ascii="Arial" w:hAnsi="Arial" w:cs="Arial"/>
        </w:rPr>
      </w:pPr>
    </w:p>
    <w:p w14:paraId="4FCAE789" w14:textId="202D34A4" w:rsidR="00C3432E" w:rsidRPr="00175036" w:rsidRDefault="00C3432E" w:rsidP="00175036">
      <w:pPr>
        <w:pStyle w:val="ListParagraph"/>
        <w:numPr>
          <w:ilvl w:val="1"/>
          <w:numId w:val="9"/>
        </w:numPr>
        <w:autoSpaceDE w:val="0"/>
        <w:autoSpaceDN w:val="0"/>
        <w:adjustRightInd w:val="0"/>
        <w:spacing w:after="0" w:line="240" w:lineRule="auto"/>
        <w:ind w:hanging="567"/>
        <w:rPr>
          <w:rFonts w:ascii="Arial" w:hAnsi="Arial" w:cs="Arial"/>
        </w:rPr>
      </w:pPr>
      <w:r w:rsidRPr="00175036">
        <w:rPr>
          <w:rFonts w:ascii="Arial" w:hAnsi="Arial" w:cs="Arial"/>
        </w:rPr>
        <w:t xml:space="preserve">Private </w:t>
      </w:r>
      <w:r w:rsidR="001F5B98" w:rsidRPr="00175036">
        <w:rPr>
          <w:rFonts w:ascii="Arial" w:hAnsi="Arial" w:cs="Arial"/>
        </w:rPr>
        <w:t>referrals for NHS diagnostic</w:t>
      </w:r>
      <w:r w:rsidR="007C55BF" w:rsidRPr="00175036">
        <w:rPr>
          <w:rFonts w:ascii="Arial" w:hAnsi="Arial" w:cs="Arial"/>
        </w:rPr>
        <w:t xml:space="preserve"> investigations.</w:t>
      </w:r>
    </w:p>
    <w:p w14:paraId="0463B4E2" w14:textId="77777777" w:rsidR="00AC4A2E" w:rsidRPr="00AC4A2E" w:rsidRDefault="00AC4A2E" w:rsidP="00AC4A2E">
      <w:pPr>
        <w:pStyle w:val="ListParagraph"/>
        <w:autoSpaceDE w:val="0"/>
        <w:autoSpaceDN w:val="0"/>
        <w:adjustRightInd w:val="0"/>
        <w:spacing w:after="0" w:line="240" w:lineRule="auto"/>
        <w:rPr>
          <w:rFonts w:ascii="Arial" w:hAnsi="Arial" w:cs="Arial"/>
        </w:rPr>
      </w:pPr>
    </w:p>
    <w:p w14:paraId="001EE46C" w14:textId="6C8B262D" w:rsidR="00190220" w:rsidRPr="002E2659" w:rsidRDefault="00190220" w:rsidP="002E2659">
      <w:pPr>
        <w:pStyle w:val="Heading1"/>
        <w:numPr>
          <w:ilvl w:val="0"/>
          <w:numId w:val="9"/>
        </w:numPr>
        <w:rPr>
          <w:b/>
          <w:bCs/>
          <w:color w:val="auto"/>
        </w:rPr>
      </w:pPr>
      <w:bookmarkStart w:id="3" w:name="_Toc121142921"/>
      <w:r w:rsidRPr="002E2659">
        <w:rPr>
          <w:b/>
          <w:bCs/>
          <w:color w:val="auto"/>
        </w:rPr>
        <w:t>Intra-Specialty referrals</w:t>
      </w:r>
      <w:bookmarkEnd w:id="3"/>
    </w:p>
    <w:p w14:paraId="3C2DBE0E" w14:textId="77777777" w:rsidR="00131340" w:rsidRPr="008C4ACC" w:rsidRDefault="00131340" w:rsidP="007966FB">
      <w:pPr>
        <w:autoSpaceDE w:val="0"/>
        <w:autoSpaceDN w:val="0"/>
        <w:adjustRightInd w:val="0"/>
        <w:spacing w:after="0" w:line="240" w:lineRule="auto"/>
        <w:rPr>
          <w:rFonts w:ascii="Arial" w:hAnsi="Arial" w:cs="Arial"/>
          <w:b/>
          <w:bCs/>
          <w:sz w:val="24"/>
          <w:szCs w:val="24"/>
        </w:rPr>
      </w:pPr>
    </w:p>
    <w:p w14:paraId="41E0E91E" w14:textId="69E764AD" w:rsidR="00190220" w:rsidRDefault="00190220" w:rsidP="007966FB">
      <w:pPr>
        <w:autoSpaceDE w:val="0"/>
        <w:autoSpaceDN w:val="0"/>
        <w:adjustRightInd w:val="0"/>
        <w:spacing w:after="0" w:line="240" w:lineRule="auto"/>
        <w:rPr>
          <w:rFonts w:ascii="Arial" w:hAnsi="Arial" w:cs="Arial"/>
        </w:rPr>
      </w:pPr>
      <w:r w:rsidRPr="00190220">
        <w:rPr>
          <w:rFonts w:ascii="Arial" w:hAnsi="Arial" w:cs="Arial"/>
        </w:rPr>
        <w:t>If a patient is referred to a consultant in a specialty who, after</w:t>
      </w:r>
      <w:r w:rsidR="008C4ACC">
        <w:rPr>
          <w:rFonts w:ascii="Arial" w:hAnsi="Arial" w:cs="Arial"/>
        </w:rPr>
        <w:t xml:space="preserve"> </w:t>
      </w:r>
      <w:r w:rsidRPr="00190220">
        <w:rPr>
          <w:rFonts w:ascii="Arial" w:hAnsi="Arial" w:cs="Arial"/>
        </w:rPr>
        <w:t>assessment or investigation, feels that the patient’s further</w:t>
      </w:r>
      <w:r w:rsidR="008C4ACC">
        <w:rPr>
          <w:rFonts w:ascii="Arial" w:hAnsi="Arial" w:cs="Arial"/>
        </w:rPr>
        <w:t xml:space="preserve"> </w:t>
      </w:r>
      <w:r w:rsidRPr="00190220">
        <w:rPr>
          <w:rFonts w:ascii="Arial" w:hAnsi="Arial" w:cs="Arial"/>
        </w:rPr>
        <w:t>management would be better undertaken by a colleague within the</w:t>
      </w:r>
      <w:r w:rsidR="008C4ACC">
        <w:rPr>
          <w:rFonts w:ascii="Arial" w:hAnsi="Arial" w:cs="Arial"/>
        </w:rPr>
        <w:t xml:space="preserve"> </w:t>
      </w:r>
      <w:r w:rsidRPr="00190220">
        <w:rPr>
          <w:rFonts w:ascii="Arial" w:hAnsi="Arial" w:cs="Arial"/>
        </w:rPr>
        <w:t xml:space="preserve">same department with </w:t>
      </w:r>
      <w:proofErr w:type="gramStart"/>
      <w:r w:rsidRPr="00190220">
        <w:rPr>
          <w:rFonts w:ascii="Arial" w:hAnsi="Arial" w:cs="Arial"/>
        </w:rPr>
        <w:t>particular sub-</w:t>
      </w:r>
      <w:proofErr w:type="gramEnd"/>
      <w:r w:rsidRPr="00190220">
        <w:rPr>
          <w:rFonts w:ascii="Arial" w:hAnsi="Arial" w:cs="Arial"/>
        </w:rPr>
        <w:t>specialty expertise, a referral</w:t>
      </w:r>
      <w:r w:rsidR="008C4ACC">
        <w:rPr>
          <w:rFonts w:ascii="Arial" w:hAnsi="Arial" w:cs="Arial"/>
        </w:rPr>
        <w:t xml:space="preserve"> </w:t>
      </w:r>
      <w:r w:rsidRPr="00190220">
        <w:rPr>
          <w:rFonts w:ascii="Arial" w:hAnsi="Arial" w:cs="Arial"/>
        </w:rPr>
        <w:t>should be made. However, it is expected that GP referral letters will</w:t>
      </w:r>
      <w:r w:rsidR="008C4ACC">
        <w:rPr>
          <w:rFonts w:ascii="Arial" w:hAnsi="Arial" w:cs="Arial"/>
        </w:rPr>
        <w:t xml:space="preserve"> </w:t>
      </w:r>
      <w:r w:rsidRPr="00190220">
        <w:rPr>
          <w:rFonts w:ascii="Arial" w:hAnsi="Arial" w:cs="Arial"/>
        </w:rPr>
        <w:t>be reviewed by clinical teams and that this will ensure as far as</w:t>
      </w:r>
      <w:r w:rsidR="008C4ACC">
        <w:rPr>
          <w:rFonts w:ascii="Arial" w:hAnsi="Arial" w:cs="Arial"/>
        </w:rPr>
        <w:t xml:space="preserve"> </w:t>
      </w:r>
      <w:r w:rsidRPr="00190220">
        <w:rPr>
          <w:rFonts w:ascii="Arial" w:hAnsi="Arial" w:cs="Arial"/>
        </w:rPr>
        <w:t>reasonably possible, that the patient is initially seen by the most</w:t>
      </w:r>
      <w:r w:rsidR="008C4ACC">
        <w:rPr>
          <w:rFonts w:ascii="Arial" w:hAnsi="Arial" w:cs="Arial"/>
        </w:rPr>
        <w:t xml:space="preserve"> </w:t>
      </w:r>
      <w:r w:rsidRPr="00190220">
        <w:rPr>
          <w:rFonts w:ascii="Arial" w:hAnsi="Arial" w:cs="Arial"/>
        </w:rPr>
        <w:t>appropriate consultant. This should minimise the number of such</w:t>
      </w:r>
      <w:r w:rsidR="008C4ACC">
        <w:rPr>
          <w:rFonts w:ascii="Arial" w:hAnsi="Arial" w:cs="Arial"/>
        </w:rPr>
        <w:t xml:space="preserve"> </w:t>
      </w:r>
      <w:r w:rsidRPr="00190220">
        <w:rPr>
          <w:rFonts w:ascii="Arial" w:hAnsi="Arial" w:cs="Arial"/>
        </w:rPr>
        <w:t>intra-specialty referrals.</w:t>
      </w:r>
    </w:p>
    <w:p w14:paraId="6D0E3848" w14:textId="77777777" w:rsidR="008C43A9" w:rsidRDefault="008C43A9" w:rsidP="007966FB">
      <w:pPr>
        <w:autoSpaceDE w:val="0"/>
        <w:autoSpaceDN w:val="0"/>
        <w:adjustRightInd w:val="0"/>
        <w:spacing w:after="0" w:line="240" w:lineRule="auto"/>
        <w:rPr>
          <w:rFonts w:ascii="Arial" w:hAnsi="Arial" w:cs="Arial"/>
        </w:rPr>
      </w:pPr>
    </w:p>
    <w:p w14:paraId="57E70332" w14:textId="062E5FDF" w:rsidR="00EF3369" w:rsidRPr="002E2659" w:rsidRDefault="00EF3369" w:rsidP="002E2659">
      <w:pPr>
        <w:pStyle w:val="Heading1"/>
        <w:numPr>
          <w:ilvl w:val="0"/>
          <w:numId w:val="9"/>
        </w:numPr>
        <w:rPr>
          <w:b/>
          <w:bCs/>
          <w:color w:val="auto"/>
        </w:rPr>
      </w:pPr>
      <w:bookmarkStart w:id="4" w:name="_Toc121142922"/>
      <w:r w:rsidRPr="002E2659">
        <w:rPr>
          <w:b/>
          <w:bCs/>
          <w:color w:val="auto"/>
        </w:rPr>
        <w:t>Private to NHS Referrals</w:t>
      </w:r>
      <w:bookmarkEnd w:id="4"/>
    </w:p>
    <w:p w14:paraId="211FE7BE" w14:textId="600A25E2" w:rsidR="00EF3369" w:rsidRPr="003E1194" w:rsidRDefault="00EF3369" w:rsidP="007966FB">
      <w:pPr>
        <w:autoSpaceDE w:val="0"/>
        <w:autoSpaceDN w:val="0"/>
        <w:adjustRightInd w:val="0"/>
        <w:spacing w:after="0" w:line="240" w:lineRule="auto"/>
        <w:rPr>
          <w:rFonts w:ascii="Arial" w:hAnsi="Arial" w:cs="Arial"/>
        </w:rPr>
      </w:pPr>
    </w:p>
    <w:p w14:paraId="005C4258" w14:textId="4D396A5F" w:rsidR="00EF3369" w:rsidRPr="003E1194" w:rsidRDefault="00EF3369" w:rsidP="007966FB">
      <w:pPr>
        <w:autoSpaceDE w:val="0"/>
        <w:autoSpaceDN w:val="0"/>
        <w:adjustRightInd w:val="0"/>
        <w:spacing w:after="0" w:line="240" w:lineRule="auto"/>
        <w:rPr>
          <w:rFonts w:ascii="Arial" w:hAnsi="Arial" w:cs="Arial"/>
        </w:rPr>
      </w:pPr>
      <w:r w:rsidRPr="003E1194">
        <w:rPr>
          <w:rFonts w:ascii="Arial" w:hAnsi="Arial" w:cs="Arial"/>
        </w:rPr>
        <w:t>The previous policy stipulated that any pat</w:t>
      </w:r>
      <w:r w:rsidR="00905E89" w:rsidRPr="003E1194">
        <w:rPr>
          <w:rFonts w:ascii="Arial" w:hAnsi="Arial" w:cs="Arial"/>
        </w:rPr>
        <w:t>ient that when a patient had been seen privately and subsequently wishes to transfer to NHS care, the pat</w:t>
      </w:r>
      <w:r w:rsidR="0080108D" w:rsidRPr="003E1194">
        <w:rPr>
          <w:rFonts w:ascii="Arial" w:hAnsi="Arial" w:cs="Arial"/>
        </w:rPr>
        <w:t>ient should be returned to the GP and the GP makes the referral.</w:t>
      </w:r>
    </w:p>
    <w:p w14:paraId="51C2BC31" w14:textId="77777777" w:rsidR="00207867" w:rsidRPr="003E1194" w:rsidRDefault="00207867" w:rsidP="007966FB">
      <w:pPr>
        <w:autoSpaceDE w:val="0"/>
        <w:autoSpaceDN w:val="0"/>
        <w:adjustRightInd w:val="0"/>
        <w:spacing w:after="0" w:line="240" w:lineRule="auto"/>
        <w:rPr>
          <w:rFonts w:ascii="Arial" w:hAnsi="Arial" w:cs="Arial"/>
        </w:rPr>
      </w:pPr>
    </w:p>
    <w:p w14:paraId="4732D2DA" w14:textId="3DD5EFFB" w:rsidR="00EF3369" w:rsidRPr="003E1194" w:rsidRDefault="008A4B9C" w:rsidP="007966FB">
      <w:pPr>
        <w:autoSpaceDE w:val="0"/>
        <w:autoSpaceDN w:val="0"/>
        <w:adjustRightInd w:val="0"/>
        <w:spacing w:after="0" w:line="240" w:lineRule="auto"/>
        <w:rPr>
          <w:rFonts w:ascii="Arial" w:hAnsi="Arial" w:cs="Arial"/>
        </w:rPr>
      </w:pPr>
      <w:r w:rsidRPr="003E1194">
        <w:rPr>
          <w:rFonts w:ascii="Arial" w:hAnsi="Arial" w:cs="Arial"/>
        </w:rPr>
        <w:t xml:space="preserve">Following discussions with GP stakeholders, </w:t>
      </w:r>
      <w:r w:rsidR="000A25FC" w:rsidRPr="003E1194">
        <w:rPr>
          <w:rFonts w:ascii="Arial" w:hAnsi="Arial" w:cs="Arial"/>
        </w:rPr>
        <w:t xml:space="preserve">the </w:t>
      </w:r>
      <w:proofErr w:type="gramStart"/>
      <w:r w:rsidRPr="003E1194">
        <w:rPr>
          <w:rFonts w:ascii="Arial" w:hAnsi="Arial" w:cs="Arial"/>
        </w:rPr>
        <w:t>Norfolk</w:t>
      </w:r>
      <w:proofErr w:type="gramEnd"/>
      <w:r w:rsidRPr="003E1194">
        <w:rPr>
          <w:rFonts w:ascii="Arial" w:hAnsi="Arial" w:cs="Arial"/>
        </w:rPr>
        <w:t xml:space="preserve"> and Waveney Local Medical Committee and the three acute providers, </w:t>
      </w:r>
      <w:r w:rsidR="006F5411">
        <w:rPr>
          <w:rFonts w:ascii="Arial" w:hAnsi="Arial" w:cs="Arial"/>
        </w:rPr>
        <w:t xml:space="preserve">the </w:t>
      </w:r>
      <w:r w:rsidR="0067671E">
        <w:rPr>
          <w:rFonts w:ascii="Arial" w:hAnsi="Arial" w:cs="Arial"/>
        </w:rPr>
        <w:t xml:space="preserve">N&amp;W </w:t>
      </w:r>
      <w:r w:rsidR="006F5411">
        <w:rPr>
          <w:rFonts w:ascii="Arial" w:hAnsi="Arial" w:cs="Arial"/>
        </w:rPr>
        <w:t xml:space="preserve">ICS Interface Committee agreed that </w:t>
      </w:r>
      <w:r w:rsidR="007F452B" w:rsidRPr="003E1194">
        <w:rPr>
          <w:rFonts w:ascii="Arial" w:hAnsi="Arial" w:cs="Arial"/>
        </w:rPr>
        <w:t xml:space="preserve">private patients requesting access to NHS care can </w:t>
      </w:r>
      <w:r w:rsidR="000A25FC" w:rsidRPr="003E1194">
        <w:rPr>
          <w:rFonts w:ascii="Arial" w:hAnsi="Arial" w:cs="Arial"/>
        </w:rPr>
        <w:t xml:space="preserve">now </w:t>
      </w:r>
      <w:r w:rsidR="007F452B" w:rsidRPr="003E1194">
        <w:rPr>
          <w:rFonts w:ascii="Arial" w:hAnsi="Arial" w:cs="Arial"/>
        </w:rPr>
        <w:t>be referred directly by the private consultant</w:t>
      </w:r>
      <w:r w:rsidR="006B7CE1" w:rsidRPr="003E1194">
        <w:rPr>
          <w:rFonts w:ascii="Arial" w:hAnsi="Arial" w:cs="Arial"/>
        </w:rPr>
        <w:t>.</w:t>
      </w:r>
      <w:r w:rsidR="007C55BF">
        <w:rPr>
          <w:rFonts w:ascii="Arial" w:hAnsi="Arial" w:cs="Arial"/>
        </w:rPr>
        <w:t xml:space="preserve">   </w:t>
      </w:r>
      <w:r w:rsidR="007C55BF" w:rsidRPr="007C55BF">
        <w:rPr>
          <w:rFonts w:ascii="Arial" w:hAnsi="Arial" w:cs="Arial"/>
        </w:rPr>
        <w:t>This relates to referrals for treatment only, and Trusts will not accept referrals for diagnostic tests.</w:t>
      </w:r>
    </w:p>
    <w:p w14:paraId="1EDE2F33" w14:textId="7C0CDA67" w:rsidR="00207867" w:rsidRPr="003E1194" w:rsidRDefault="00207867" w:rsidP="007966FB">
      <w:pPr>
        <w:autoSpaceDE w:val="0"/>
        <w:autoSpaceDN w:val="0"/>
        <w:adjustRightInd w:val="0"/>
        <w:spacing w:after="0" w:line="240" w:lineRule="auto"/>
        <w:rPr>
          <w:rFonts w:ascii="Arial" w:hAnsi="Arial" w:cs="Arial"/>
        </w:rPr>
      </w:pPr>
    </w:p>
    <w:p w14:paraId="7D362316" w14:textId="2E940A72" w:rsidR="00834609" w:rsidRPr="003E1194" w:rsidRDefault="00207867" w:rsidP="007966FB">
      <w:pPr>
        <w:autoSpaceDE w:val="0"/>
        <w:autoSpaceDN w:val="0"/>
        <w:adjustRightInd w:val="0"/>
        <w:spacing w:after="0" w:line="240" w:lineRule="auto"/>
        <w:rPr>
          <w:rFonts w:ascii="Arial" w:hAnsi="Arial" w:cs="Arial"/>
        </w:rPr>
      </w:pPr>
      <w:r w:rsidRPr="003E1194">
        <w:rPr>
          <w:rFonts w:ascii="Arial" w:hAnsi="Arial" w:cs="Arial"/>
        </w:rPr>
        <w:lastRenderedPageBreak/>
        <w:t xml:space="preserve">Private consultants must refer to the Norfolk and Waveney ICB clinical threshold policy to ensure </w:t>
      </w:r>
      <w:r w:rsidR="0047771D" w:rsidRPr="003E1194">
        <w:rPr>
          <w:rFonts w:ascii="Arial" w:hAnsi="Arial" w:cs="Arial"/>
        </w:rPr>
        <w:t xml:space="preserve">the </w:t>
      </w:r>
      <w:r w:rsidRPr="003E1194">
        <w:rPr>
          <w:rFonts w:ascii="Arial" w:hAnsi="Arial" w:cs="Arial"/>
        </w:rPr>
        <w:t>patient meets the clinical criteria for referral</w:t>
      </w:r>
      <w:r w:rsidR="00834609" w:rsidRPr="003E1194">
        <w:rPr>
          <w:rFonts w:ascii="Arial" w:hAnsi="Arial" w:cs="Arial"/>
        </w:rPr>
        <w:t xml:space="preserve"> </w:t>
      </w:r>
      <w:r w:rsidR="0025751E" w:rsidRPr="003E1194">
        <w:rPr>
          <w:rFonts w:ascii="Arial" w:hAnsi="Arial" w:cs="Arial"/>
        </w:rPr>
        <w:t xml:space="preserve">and must offer </w:t>
      </w:r>
      <w:r w:rsidR="00834609" w:rsidRPr="003E1194">
        <w:rPr>
          <w:rFonts w:ascii="Arial" w:hAnsi="Arial" w:cs="Arial"/>
        </w:rPr>
        <w:t xml:space="preserve">informed </w:t>
      </w:r>
      <w:r w:rsidR="0025751E" w:rsidRPr="003E1194">
        <w:rPr>
          <w:rFonts w:ascii="Arial" w:hAnsi="Arial" w:cs="Arial"/>
        </w:rPr>
        <w:t xml:space="preserve">choice of provider.  </w:t>
      </w:r>
      <w:r w:rsidR="00AC1B83" w:rsidRPr="003E1194">
        <w:rPr>
          <w:rFonts w:ascii="Arial" w:hAnsi="Arial" w:cs="Arial"/>
        </w:rPr>
        <w:t xml:space="preserve">  The patient’s referral to treatment </w:t>
      </w:r>
      <w:r w:rsidR="00B21AC0" w:rsidRPr="003E1194">
        <w:rPr>
          <w:rFonts w:ascii="Arial" w:hAnsi="Arial" w:cs="Arial"/>
        </w:rPr>
        <w:t xml:space="preserve">(RTT) </w:t>
      </w:r>
      <w:r w:rsidR="00AC1B83" w:rsidRPr="003E1194">
        <w:rPr>
          <w:rFonts w:ascii="Arial" w:hAnsi="Arial" w:cs="Arial"/>
        </w:rPr>
        <w:t>clock</w:t>
      </w:r>
      <w:r w:rsidR="009836DC" w:rsidRPr="003E1194">
        <w:rPr>
          <w:rFonts w:ascii="Arial" w:hAnsi="Arial" w:cs="Arial"/>
        </w:rPr>
        <w:t xml:space="preserve"> or </w:t>
      </w:r>
      <w:r w:rsidR="00484EF6" w:rsidRPr="003E1194">
        <w:rPr>
          <w:rFonts w:ascii="Arial" w:hAnsi="Arial" w:cs="Arial"/>
        </w:rPr>
        <w:t>2-week wait suspected cancer clock</w:t>
      </w:r>
      <w:r w:rsidR="00AC1B83" w:rsidRPr="003E1194">
        <w:rPr>
          <w:rFonts w:ascii="Arial" w:hAnsi="Arial" w:cs="Arial"/>
        </w:rPr>
        <w:t xml:space="preserve"> will start upon receipt of referral at the acute provider.   </w:t>
      </w:r>
      <w:r w:rsidR="006D222C" w:rsidRPr="003E1194">
        <w:rPr>
          <w:rFonts w:ascii="Arial" w:hAnsi="Arial" w:cs="Arial"/>
        </w:rPr>
        <w:t xml:space="preserve">The NHS clinician may agree to place the patient directly onto the admitted waiting list </w:t>
      </w:r>
      <w:r w:rsidR="00BA4B50" w:rsidRPr="003E1194">
        <w:rPr>
          <w:rFonts w:ascii="Arial" w:hAnsi="Arial" w:cs="Arial"/>
        </w:rPr>
        <w:t>without the need for outpatient appointments</w:t>
      </w:r>
      <w:r w:rsidR="00B21AC0" w:rsidRPr="003E1194">
        <w:rPr>
          <w:rFonts w:ascii="Arial" w:hAnsi="Arial" w:cs="Arial"/>
        </w:rPr>
        <w:t>,</w:t>
      </w:r>
      <w:r w:rsidR="00BA4B50" w:rsidRPr="003E1194">
        <w:rPr>
          <w:rFonts w:ascii="Arial" w:hAnsi="Arial" w:cs="Arial"/>
        </w:rPr>
        <w:t xml:space="preserve"> however, th</w:t>
      </w:r>
      <w:r w:rsidR="00B21AC0" w:rsidRPr="003E1194">
        <w:rPr>
          <w:rFonts w:ascii="Arial" w:hAnsi="Arial" w:cs="Arial"/>
        </w:rPr>
        <w:t>e RTT</w:t>
      </w:r>
      <w:r w:rsidR="00BA4B50" w:rsidRPr="003E1194">
        <w:rPr>
          <w:rFonts w:ascii="Arial" w:hAnsi="Arial" w:cs="Arial"/>
        </w:rPr>
        <w:t xml:space="preserve"> wait time will start from zero.</w:t>
      </w:r>
      <w:r w:rsidR="00B21AC0" w:rsidRPr="003E1194">
        <w:rPr>
          <w:rFonts w:ascii="Arial" w:hAnsi="Arial" w:cs="Arial"/>
        </w:rPr>
        <w:t xml:space="preserve"> </w:t>
      </w:r>
      <w:r w:rsidR="00864288" w:rsidRPr="003E1194">
        <w:rPr>
          <w:rFonts w:ascii="Arial" w:hAnsi="Arial" w:cs="Arial"/>
        </w:rPr>
        <w:t xml:space="preserve"> </w:t>
      </w:r>
      <w:r w:rsidR="00B21AC0" w:rsidRPr="003E1194">
        <w:rPr>
          <w:rFonts w:ascii="Arial" w:hAnsi="Arial" w:cs="Arial"/>
        </w:rPr>
        <w:t xml:space="preserve">Patients will be treated in priority and chronological order and must not be given preferential treatment.   </w:t>
      </w:r>
    </w:p>
    <w:p w14:paraId="00618678" w14:textId="38704EE9" w:rsidR="00FC6CAB" w:rsidRPr="003E1194" w:rsidRDefault="00FC6CAB" w:rsidP="007966FB">
      <w:pPr>
        <w:autoSpaceDE w:val="0"/>
        <w:autoSpaceDN w:val="0"/>
        <w:adjustRightInd w:val="0"/>
        <w:spacing w:after="0" w:line="240" w:lineRule="auto"/>
        <w:rPr>
          <w:rFonts w:ascii="Arial" w:hAnsi="Arial" w:cs="Arial"/>
        </w:rPr>
      </w:pPr>
    </w:p>
    <w:p w14:paraId="479005A8" w14:textId="509C0604" w:rsidR="00FC6CAB" w:rsidRPr="003E1194" w:rsidRDefault="00FC6CAB" w:rsidP="007966FB">
      <w:pPr>
        <w:autoSpaceDE w:val="0"/>
        <w:autoSpaceDN w:val="0"/>
        <w:adjustRightInd w:val="0"/>
        <w:spacing w:after="0" w:line="240" w:lineRule="auto"/>
        <w:rPr>
          <w:rFonts w:ascii="Arial" w:hAnsi="Arial" w:cs="Arial"/>
        </w:rPr>
      </w:pPr>
      <w:r w:rsidRPr="003E1194">
        <w:rPr>
          <w:rFonts w:ascii="Arial" w:hAnsi="Arial" w:cs="Arial"/>
        </w:rPr>
        <w:t xml:space="preserve">Referral requests from private </w:t>
      </w:r>
      <w:r w:rsidR="000D3F78" w:rsidRPr="003E1194">
        <w:rPr>
          <w:rFonts w:ascii="Arial" w:hAnsi="Arial" w:cs="Arial"/>
        </w:rPr>
        <w:t>GPs,</w:t>
      </w:r>
      <w:r w:rsidRPr="003E1194">
        <w:rPr>
          <w:rFonts w:ascii="Arial" w:hAnsi="Arial" w:cs="Arial"/>
        </w:rPr>
        <w:t xml:space="preserve"> however, should </w:t>
      </w:r>
      <w:r w:rsidR="00080F9F" w:rsidRPr="003E1194">
        <w:rPr>
          <w:rFonts w:ascii="Arial" w:hAnsi="Arial" w:cs="Arial"/>
        </w:rPr>
        <w:t xml:space="preserve">still </w:t>
      </w:r>
      <w:r w:rsidRPr="003E1194">
        <w:rPr>
          <w:rFonts w:ascii="Arial" w:hAnsi="Arial" w:cs="Arial"/>
        </w:rPr>
        <w:t>be forwarded to the patient’s NHS GP</w:t>
      </w:r>
      <w:r w:rsidR="00080F9F" w:rsidRPr="003E1194">
        <w:rPr>
          <w:rFonts w:ascii="Arial" w:hAnsi="Arial" w:cs="Arial"/>
        </w:rPr>
        <w:t xml:space="preserve"> to initiate NHS care.</w:t>
      </w:r>
    </w:p>
    <w:p w14:paraId="3F97C739" w14:textId="77777777" w:rsidR="00834609" w:rsidRPr="00B157D9" w:rsidRDefault="00834609" w:rsidP="007966FB">
      <w:pPr>
        <w:autoSpaceDE w:val="0"/>
        <w:autoSpaceDN w:val="0"/>
        <w:adjustRightInd w:val="0"/>
        <w:spacing w:after="0" w:line="240" w:lineRule="auto"/>
        <w:rPr>
          <w:rFonts w:ascii="Arial" w:hAnsi="Arial" w:cs="Arial"/>
          <w:color w:val="FF0000"/>
        </w:rPr>
      </w:pPr>
    </w:p>
    <w:p w14:paraId="1F309833" w14:textId="03AAE459" w:rsidR="001C58AD" w:rsidRPr="002E6A12" w:rsidRDefault="001C58AD" w:rsidP="002E6A12">
      <w:pPr>
        <w:pStyle w:val="Heading1"/>
        <w:numPr>
          <w:ilvl w:val="0"/>
          <w:numId w:val="9"/>
        </w:numPr>
        <w:rPr>
          <w:b/>
          <w:bCs/>
          <w:color w:val="auto"/>
        </w:rPr>
      </w:pPr>
      <w:bookmarkStart w:id="5" w:name="_Toc121142923"/>
      <w:r w:rsidRPr="002E6A12">
        <w:rPr>
          <w:b/>
          <w:bCs/>
          <w:color w:val="auto"/>
        </w:rPr>
        <w:t>Clinical Governance</w:t>
      </w:r>
      <w:bookmarkEnd w:id="5"/>
    </w:p>
    <w:p w14:paraId="264B909B" w14:textId="77777777" w:rsidR="001C58AD" w:rsidRPr="006326C2" w:rsidRDefault="001C58AD" w:rsidP="001C58AD">
      <w:pPr>
        <w:autoSpaceDE w:val="0"/>
        <w:autoSpaceDN w:val="0"/>
        <w:adjustRightInd w:val="0"/>
        <w:spacing w:after="0" w:line="240" w:lineRule="auto"/>
        <w:rPr>
          <w:rFonts w:ascii="Arial" w:hAnsi="Arial" w:cs="Arial"/>
          <w:b/>
          <w:sz w:val="24"/>
          <w:szCs w:val="24"/>
        </w:rPr>
      </w:pPr>
    </w:p>
    <w:p w14:paraId="3BF74700" w14:textId="3262B4BF" w:rsidR="001C58AD" w:rsidRDefault="00914793" w:rsidP="001C58AD">
      <w:pPr>
        <w:autoSpaceDE w:val="0"/>
        <w:autoSpaceDN w:val="0"/>
        <w:adjustRightInd w:val="0"/>
        <w:spacing w:after="0" w:line="240" w:lineRule="auto"/>
        <w:rPr>
          <w:rFonts w:ascii="Arial" w:hAnsi="Arial" w:cs="Arial"/>
        </w:rPr>
      </w:pPr>
      <w:r>
        <w:rPr>
          <w:rFonts w:ascii="Arial" w:hAnsi="Arial" w:cs="Arial"/>
        </w:rPr>
        <w:t xml:space="preserve">Where </w:t>
      </w:r>
      <w:r w:rsidR="003E1194">
        <w:rPr>
          <w:rFonts w:ascii="Arial" w:hAnsi="Arial" w:cs="Arial"/>
        </w:rPr>
        <w:t>C2C</w:t>
      </w:r>
      <w:r w:rsidR="001C58AD" w:rsidRPr="001C58AD">
        <w:rPr>
          <w:rFonts w:ascii="Arial" w:hAnsi="Arial" w:cs="Arial"/>
        </w:rPr>
        <w:t xml:space="preserve"> referrals ar</w:t>
      </w:r>
      <w:r w:rsidR="00881F1E">
        <w:rPr>
          <w:rFonts w:ascii="Arial" w:hAnsi="Arial" w:cs="Arial"/>
        </w:rPr>
        <w:t>e appropriate both the Trust</w:t>
      </w:r>
      <w:r w:rsidR="008B1138">
        <w:rPr>
          <w:rFonts w:ascii="Arial" w:hAnsi="Arial" w:cs="Arial"/>
        </w:rPr>
        <w:t>s</w:t>
      </w:r>
      <w:r w:rsidR="00881F1E">
        <w:rPr>
          <w:rFonts w:ascii="Arial" w:hAnsi="Arial" w:cs="Arial"/>
        </w:rPr>
        <w:t xml:space="preserve"> and Commissioners need </w:t>
      </w:r>
      <w:r w:rsidR="001C58AD" w:rsidRPr="001C58AD">
        <w:rPr>
          <w:rFonts w:ascii="Arial" w:hAnsi="Arial" w:cs="Arial"/>
        </w:rPr>
        <w:t xml:space="preserve">to be assured that the clinical </w:t>
      </w:r>
      <w:r w:rsidR="001C58AD">
        <w:rPr>
          <w:rFonts w:ascii="Arial" w:hAnsi="Arial" w:cs="Arial"/>
        </w:rPr>
        <w:t xml:space="preserve">governance arrangements support </w:t>
      </w:r>
      <w:r w:rsidR="001C58AD" w:rsidRPr="001C58AD">
        <w:rPr>
          <w:rFonts w:ascii="Arial" w:hAnsi="Arial" w:cs="Arial"/>
        </w:rPr>
        <w:t>safe and effective care.</w:t>
      </w:r>
    </w:p>
    <w:p w14:paraId="186BA9C9" w14:textId="77777777" w:rsidR="00B90D3A" w:rsidRPr="001C58AD" w:rsidRDefault="00B90D3A" w:rsidP="001C58AD">
      <w:pPr>
        <w:autoSpaceDE w:val="0"/>
        <w:autoSpaceDN w:val="0"/>
        <w:adjustRightInd w:val="0"/>
        <w:spacing w:after="0" w:line="240" w:lineRule="auto"/>
        <w:rPr>
          <w:rFonts w:ascii="Arial" w:hAnsi="Arial" w:cs="Arial"/>
        </w:rPr>
      </w:pPr>
    </w:p>
    <w:p w14:paraId="755D553D" w14:textId="3846ED68" w:rsidR="001C58AD" w:rsidRPr="001C58AD" w:rsidRDefault="001C58AD" w:rsidP="001C58AD">
      <w:pPr>
        <w:autoSpaceDE w:val="0"/>
        <w:autoSpaceDN w:val="0"/>
        <w:adjustRightInd w:val="0"/>
        <w:spacing w:after="0" w:line="240" w:lineRule="auto"/>
        <w:rPr>
          <w:rFonts w:ascii="Arial" w:hAnsi="Arial" w:cs="Arial"/>
        </w:rPr>
      </w:pPr>
      <w:r w:rsidRPr="001C58AD">
        <w:rPr>
          <w:rFonts w:ascii="Arial" w:hAnsi="Arial" w:cs="Arial"/>
        </w:rPr>
        <w:t>The Trust must be able to assure itself and commi</w:t>
      </w:r>
      <w:r w:rsidR="00914793">
        <w:rPr>
          <w:rFonts w:ascii="Arial" w:hAnsi="Arial" w:cs="Arial"/>
        </w:rPr>
        <w:t xml:space="preserve">ssioners that any </w:t>
      </w:r>
      <w:r w:rsidR="003E1194">
        <w:rPr>
          <w:rFonts w:ascii="Arial" w:hAnsi="Arial" w:cs="Arial"/>
        </w:rPr>
        <w:t>C2C</w:t>
      </w:r>
      <w:r w:rsidRPr="001C58AD">
        <w:rPr>
          <w:rFonts w:ascii="Arial" w:hAnsi="Arial" w:cs="Arial"/>
        </w:rPr>
        <w:t xml:space="preserve"> referrals do not circumvent the requiremen</w:t>
      </w:r>
      <w:r>
        <w:rPr>
          <w:rFonts w:ascii="Arial" w:hAnsi="Arial" w:cs="Arial"/>
        </w:rPr>
        <w:t>ts of the 18</w:t>
      </w:r>
      <w:r w:rsidR="003E1194">
        <w:rPr>
          <w:rFonts w:ascii="Arial" w:hAnsi="Arial" w:cs="Arial"/>
        </w:rPr>
        <w:t>-</w:t>
      </w:r>
      <w:r>
        <w:rPr>
          <w:rFonts w:ascii="Arial" w:hAnsi="Arial" w:cs="Arial"/>
        </w:rPr>
        <w:t xml:space="preserve">week pathways that </w:t>
      </w:r>
      <w:r w:rsidRPr="001C58AD">
        <w:rPr>
          <w:rFonts w:ascii="Arial" w:hAnsi="Arial" w:cs="Arial"/>
        </w:rPr>
        <w:t>would have been instigated if the patient had been referred and tracked by their GP. In this</w:t>
      </w:r>
      <w:r>
        <w:rPr>
          <w:rFonts w:ascii="Arial" w:hAnsi="Arial" w:cs="Arial"/>
        </w:rPr>
        <w:t xml:space="preserve"> </w:t>
      </w:r>
      <w:r w:rsidRPr="001C58AD">
        <w:rPr>
          <w:rFonts w:ascii="Arial" w:hAnsi="Arial" w:cs="Arial"/>
        </w:rPr>
        <w:t xml:space="preserve">regard, Trusts must ensure that patients are tracked </w:t>
      </w:r>
      <w:r w:rsidR="003E1194" w:rsidRPr="001C58AD">
        <w:rPr>
          <w:rFonts w:ascii="Arial" w:hAnsi="Arial" w:cs="Arial"/>
        </w:rPr>
        <w:t>appropr</w:t>
      </w:r>
      <w:r w:rsidR="003E1194">
        <w:rPr>
          <w:rFonts w:ascii="Arial" w:hAnsi="Arial" w:cs="Arial"/>
        </w:rPr>
        <w:t>iately,</w:t>
      </w:r>
      <w:r>
        <w:rPr>
          <w:rFonts w:ascii="Arial" w:hAnsi="Arial" w:cs="Arial"/>
        </w:rPr>
        <w:t xml:space="preserve"> and their care delivered </w:t>
      </w:r>
      <w:r w:rsidRPr="001C58AD">
        <w:rPr>
          <w:rFonts w:ascii="Arial" w:hAnsi="Arial" w:cs="Arial"/>
        </w:rPr>
        <w:t>in a timely manner.</w:t>
      </w:r>
    </w:p>
    <w:p w14:paraId="189C0178" w14:textId="77777777" w:rsidR="001C58AD" w:rsidRDefault="001C58AD" w:rsidP="001C58AD">
      <w:pPr>
        <w:autoSpaceDE w:val="0"/>
        <w:autoSpaceDN w:val="0"/>
        <w:adjustRightInd w:val="0"/>
        <w:spacing w:after="0" w:line="240" w:lineRule="auto"/>
        <w:rPr>
          <w:rFonts w:ascii="Arial" w:hAnsi="Arial" w:cs="Arial"/>
        </w:rPr>
      </w:pPr>
    </w:p>
    <w:p w14:paraId="33F11942" w14:textId="77777777" w:rsidR="001C58AD" w:rsidRDefault="001C58AD" w:rsidP="001C58AD">
      <w:pPr>
        <w:autoSpaceDE w:val="0"/>
        <w:autoSpaceDN w:val="0"/>
        <w:adjustRightInd w:val="0"/>
        <w:spacing w:after="0" w:line="240" w:lineRule="auto"/>
        <w:rPr>
          <w:rFonts w:ascii="Arial" w:hAnsi="Arial" w:cs="Arial"/>
        </w:rPr>
      </w:pPr>
      <w:r w:rsidRPr="001C58AD">
        <w:rPr>
          <w:rFonts w:ascii="Arial" w:hAnsi="Arial" w:cs="Arial"/>
        </w:rPr>
        <w:t>The patient will remain under the clinical responsibility of th</w:t>
      </w:r>
      <w:r>
        <w:rPr>
          <w:rFonts w:ascii="Arial" w:hAnsi="Arial" w:cs="Arial"/>
        </w:rPr>
        <w:t xml:space="preserve">e secondary care clinician that </w:t>
      </w:r>
      <w:r w:rsidRPr="001C58AD">
        <w:rPr>
          <w:rFonts w:ascii="Arial" w:hAnsi="Arial" w:cs="Arial"/>
        </w:rPr>
        <w:t>made the onward referral. Clinical responsibility wi</w:t>
      </w:r>
      <w:r>
        <w:rPr>
          <w:rFonts w:ascii="Arial" w:hAnsi="Arial" w:cs="Arial"/>
        </w:rPr>
        <w:t xml:space="preserve">ll then be managed based on the </w:t>
      </w:r>
      <w:r w:rsidRPr="001C58AD">
        <w:rPr>
          <w:rFonts w:ascii="Arial" w:hAnsi="Arial" w:cs="Arial"/>
        </w:rPr>
        <w:t>following:</w:t>
      </w:r>
    </w:p>
    <w:p w14:paraId="4362C973" w14:textId="77777777" w:rsidR="00881F1E" w:rsidRPr="001C58AD" w:rsidRDefault="00881F1E" w:rsidP="001C58AD">
      <w:pPr>
        <w:autoSpaceDE w:val="0"/>
        <w:autoSpaceDN w:val="0"/>
        <w:adjustRightInd w:val="0"/>
        <w:spacing w:after="0" w:line="240" w:lineRule="auto"/>
        <w:rPr>
          <w:rFonts w:ascii="Arial" w:hAnsi="Arial" w:cs="Arial"/>
        </w:rPr>
      </w:pPr>
    </w:p>
    <w:p w14:paraId="3FD71DC4" w14:textId="77777777" w:rsidR="001C58AD" w:rsidRDefault="001C58AD" w:rsidP="006326C2">
      <w:pPr>
        <w:pStyle w:val="ListParagraph"/>
        <w:numPr>
          <w:ilvl w:val="0"/>
          <w:numId w:val="5"/>
        </w:numPr>
        <w:autoSpaceDE w:val="0"/>
        <w:autoSpaceDN w:val="0"/>
        <w:adjustRightInd w:val="0"/>
        <w:spacing w:after="0" w:line="240" w:lineRule="auto"/>
        <w:rPr>
          <w:rFonts w:ascii="Arial" w:hAnsi="Arial" w:cs="Arial"/>
        </w:rPr>
      </w:pPr>
      <w:r w:rsidRPr="006326C2">
        <w:rPr>
          <w:rFonts w:ascii="Arial" w:hAnsi="Arial" w:cs="Arial"/>
        </w:rPr>
        <w:t>If a decision is made to manage the patient as a routine appointment in an acute setting,</w:t>
      </w:r>
      <w:r>
        <w:rPr>
          <w:rFonts w:ascii="Arial" w:hAnsi="Arial" w:cs="Arial"/>
        </w:rPr>
        <w:t xml:space="preserve"> </w:t>
      </w:r>
      <w:r w:rsidRPr="006326C2">
        <w:rPr>
          <w:rFonts w:ascii="Arial" w:hAnsi="Arial" w:cs="Arial"/>
        </w:rPr>
        <w:t>clinical responsibility will remain with the secondary care clinician.</w:t>
      </w:r>
    </w:p>
    <w:p w14:paraId="3A9DABA4" w14:textId="548C84BF" w:rsidR="001C58AD" w:rsidRPr="00FB69A4" w:rsidRDefault="001C58AD" w:rsidP="00195221">
      <w:pPr>
        <w:pStyle w:val="ListParagraph"/>
        <w:numPr>
          <w:ilvl w:val="0"/>
          <w:numId w:val="5"/>
        </w:numPr>
        <w:autoSpaceDE w:val="0"/>
        <w:autoSpaceDN w:val="0"/>
        <w:adjustRightInd w:val="0"/>
        <w:spacing w:after="0" w:line="240" w:lineRule="auto"/>
        <w:rPr>
          <w:rFonts w:ascii="Arial" w:hAnsi="Arial" w:cs="Arial"/>
        </w:rPr>
      </w:pPr>
      <w:r w:rsidRPr="006326C2">
        <w:rPr>
          <w:rFonts w:ascii="Arial" w:hAnsi="Arial" w:cs="Arial"/>
        </w:rPr>
        <w:t xml:space="preserve">If the decision is made to upgrade the referral to the </w:t>
      </w:r>
      <w:r w:rsidR="00147882">
        <w:rPr>
          <w:rFonts w:ascii="Arial" w:hAnsi="Arial" w:cs="Arial"/>
        </w:rPr>
        <w:t>2-</w:t>
      </w:r>
      <w:r w:rsidRPr="006326C2">
        <w:rPr>
          <w:rFonts w:ascii="Arial" w:hAnsi="Arial" w:cs="Arial"/>
        </w:rPr>
        <w:t xml:space="preserve">week wait referral pathway, </w:t>
      </w:r>
      <w:r w:rsidRPr="00FB69A4">
        <w:rPr>
          <w:rFonts w:ascii="Arial" w:hAnsi="Arial" w:cs="Arial"/>
        </w:rPr>
        <w:t>clinical responsibility will be managed in lin</w:t>
      </w:r>
      <w:r w:rsidR="00195221" w:rsidRPr="00FB69A4">
        <w:rPr>
          <w:rFonts w:ascii="Arial" w:hAnsi="Arial" w:cs="Arial"/>
        </w:rPr>
        <w:t xml:space="preserve">e with the </w:t>
      </w:r>
      <w:r w:rsidR="00147882">
        <w:rPr>
          <w:rFonts w:ascii="Arial" w:hAnsi="Arial" w:cs="Arial"/>
        </w:rPr>
        <w:t>2-</w:t>
      </w:r>
      <w:r w:rsidR="00195221" w:rsidRPr="00FB69A4">
        <w:rPr>
          <w:rFonts w:ascii="Arial" w:hAnsi="Arial" w:cs="Arial"/>
        </w:rPr>
        <w:t>week wait policy on the 62</w:t>
      </w:r>
      <w:r w:rsidR="00FB3C9A">
        <w:rPr>
          <w:rFonts w:ascii="Arial" w:hAnsi="Arial" w:cs="Arial"/>
        </w:rPr>
        <w:t>-</w:t>
      </w:r>
      <w:r w:rsidR="00195221" w:rsidRPr="00FB69A4">
        <w:rPr>
          <w:rFonts w:ascii="Arial" w:hAnsi="Arial" w:cs="Arial"/>
        </w:rPr>
        <w:t>day upgrade pathway</w:t>
      </w:r>
      <w:r w:rsidR="00881F1E" w:rsidRPr="00FB69A4">
        <w:rPr>
          <w:rFonts w:ascii="Arial" w:hAnsi="Arial" w:cs="Arial"/>
        </w:rPr>
        <w:t>s.</w:t>
      </w:r>
      <w:r w:rsidR="00195221" w:rsidRPr="00FB69A4">
        <w:rPr>
          <w:rFonts w:ascii="Arial" w:hAnsi="Arial" w:cs="Arial"/>
        </w:rPr>
        <w:t xml:space="preserve"> </w:t>
      </w:r>
    </w:p>
    <w:p w14:paraId="04EB5935" w14:textId="6CAB529B" w:rsidR="001C58AD" w:rsidRPr="00691456" w:rsidRDefault="001C58AD" w:rsidP="00095E81">
      <w:pPr>
        <w:pStyle w:val="ListParagraph"/>
        <w:numPr>
          <w:ilvl w:val="0"/>
          <w:numId w:val="5"/>
        </w:numPr>
        <w:autoSpaceDE w:val="0"/>
        <w:autoSpaceDN w:val="0"/>
        <w:adjustRightInd w:val="0"/>
        <w:spacing w:after="0" w:line="240" w:lineRule="auto"/>
        <w:rPr>
          <w:rFonts w:ascii="Arial" w:hAnsi="Arial" w:cs="Arial"/>
        </w:rPr>
      </w:pPr>
      <w:r w:rsidRPr="00691456">
        <w:rPr>
          <w:rFonts w:ascii="Arial" w:hAnsi="Arial" w:cs="Arial"/>
        </w:rPr>
        <w:t xml:space="preserve">If a decision is made to manage the patient in a primary care setting, responsibility for the patient will pass back to the GP with advice and feedback for management in primary care, once the GP has </w:t>
      </w:r>
      <w:r w:rsidR="00AC4A2E" w:rsidRPr="00691456">
        <w:rPr>
          <w:rFonts w:ascii="Arial" w:hAnsi="Arial" w:cs="Arial"/>
        </w:rPr>
        <w:t xml:space="preserve">received the relevant </w:t>
      </w:r>
      <w:proofErr w:type="spellStart"/>
      <w:r w:rsidR="00AC4A2E" w:rsidRPr="00691456">
        <w:rPr>
          <w:rFonts w:ascii="Arial" w:hAnsi="Arial" w:cs="Arial"/>
        </w:rPr>
        <w:t>correspondence</w:t>
      </w:r>
      <w:r w:rsidRPr="00691456">
        <w:rPr>
          <w:rFonts w:ascii="Arial" w:hAnsi="Arial" w:cs="Arial"/>
        </w:rPr>
        <w:t>f</w:t>
      </w:r>
      <w:proofErr w:type="spellEnd"/>
      <w:r w:rsidRPr="00691456">
        <w:rPr>
          <w:rFonts w:ascii="Arial" w:hAnsi="Arial" w:cs="Arial"/>
        </w:rPr>
        <w:t xml:space="preserve"> a decision is made to manage the patient in a community care setting, responsibility for the patient will be passed to the community clinic provider clinicians.</w:t>
      </w:r>
    </w:p>
    <w:p w14:paraId="1AF2882A" w14:textId="092AE7F0" w:rsidR="00190220" w:rsidRPr="002E6A12" w:rsidRDefault="00190220" w:rsidP="002E6A12">
      <w:pPr>
        <w:pStyle w:val="Heading1"/>
        <w:numPr>
          <w:ilvl w:val="0"/>
          <w:numId w:val="9"/>
        </w:numPr>
        <w:rPr>
          <w:b/>
          <w:bCs/>
          <w:color w:val="auto"/>
        </w:rPr>
      </w:pPr>
      <w:bookmarkStart w:id="6" w:name="_Toc121142924"/>
      <w:r w:rsidRPr="002E6A12">
        <w:rPr>
          <w:b/>
          <w:bCs/>
          <w:color w:val="auto"/>
        </w:rPr>
        <w:t>Monitoring compliance with the policy</w:t>
      </w:r>
      <w:bookmarkEnd w:id="6"/>
    </w:p>
    <w:p w14:paraId="655E7D23" w14:textId="77777777" w:rsidR="00131340" w:rsidRPr="008C4ACC" w:rsidRDefault="00131340" w:rsidP="007966FB">
      <w:pPr>
        <w:autoSpaceDE w:val="0"/>
        <w:autoSpaceDN w:val="0"/>
        <w:adjustRightInd w:val="0"/>
        <w:spacing w:after="0" w:line="240" w:lineRule="auto"/>
        <w:rPr>
          <w:rFonts w:ascii="Arial" w:hAnsi="Arial" w:cs="Arial"/>
          <w:b/>
          <w:bCs/>
          <w:sz w:val="24"/>
          <w:szCs w:val="24"/>
        </w:rPr>
      </w:pPr>
    </w:p>
    <w:p w14:paraId="74F3854C" w14:textId="60BBD8BE" w:rsidR="008254C9" w:rsidRPr="008254C9" w:rsidRDefault="008254C9" w:rsidP="00C236A9">
      <w:pPr>
        <w:pStyle w:val="NormalWeb"/>
        <w:rPr>
          <w:rFonts w:ascii="Arial" w:hAnsi="Arial" w:cs="Arial"/>
          <w:sz w:val="22"/>
          <w:szCs w:val="22"/>
        </w:rPr>
      </w:pPr>
      <w:r w:rsidRPr="00F72A0B">
        <w:rPr>
          <w:rFonts w:ascii="Arial" w:hAnsi="Arial" w:cs="Arial"/>
          <w:sz w:val="22"/>
          <w:szCs w:val="22"/>
        </w:rPr>
        <w:t xml:space="preserve">The </w:t>
      </w:r>
      <w:r w:rsidR="009C1456" w:rsidRPr="00F72A0B">
        <w:rPr>
          <w:rFonts w:ascii="Arial" w:hAnsi="Arial" w:cs="Arial"/>
          <w:sz w:val="22"/>
          <w:szCs w:val="22"/>
        </w:rPr>
        <w:t>ICB Business Intelligence Unit</w:t>
      </w:r>
      <w:r w:rsidR="001C58AD" w:rsidRPr="00F72A0B">
        <w:rPr>
          <w:rFonts w:ascii="Arial" w:hAnsi="Arial" w:cs="Arial"/>
          <w:sz w:val="22"/>
          <w:szCs w:val="22"/>
        </w:rPr>
        <w:t xml:space="preserve"> </w:t>
      </w:r>
      <w:r w:rsidR="001C58AD" w:rsidRPr="008254C9">
        <w:rPr>
          <w:rFonts w:ascii="Arial" w:hAnsi="Arial" w:cs="Arial"/>
          <w:sz w:val="22"/>
          <w:szCs w:val="22"/>
        </w:rPr>
        <w:t>will</w:t>
      </w:r>
      <w:r w:rsidRPr="008254C9">
        <w:rPr>
          <w:rFonts w:ascii="Arial" w:hAnsi="Arial" w:cs="Arial"/>
          <w:sz w:val="22"/>
          <w:szCs w:val="22"/>
        </w:rPr>
        <w:t xml:space="preserve"> monitor the numbers of </w:t>
      </w:r>
      <w:r w:rsidR="008B1138">
        <w:rPr>
          <w:rFonts w:ascii="Arial" w:hAnsi="Arial" w:cs="Arial"/>
          <w:sz w:val="22"/>
          <w:szCs w:val="22"/>
        </w:rPr>
        <w:t>C2C</w:t>
      </w:r>
      <w:r w:rsidRPr="008254C9">
        <w:rPr>
          <w:rFonts w:ascii="Arial" w:hAnsi="Arial" w:cs="Arial"/>
          <w:sz w:val="22"/>
          <w:szCs w:val="22"/>
        </w:rPr>
        <w:t xml:space="preserve"> referrals. The </w:t>
      </w:r>
      <w:r w:rsidR="008B1138">
        <w:rPr>
          <w:rFonts w:ascii="Arial" w:hAnsi="Arial" w:cs="Arial"/>
          <w:sz w:val="22"/>
          <w:szCs w:val="22"/>
        </w:rPr>
        <w:t>ICB</w:t>
      </w:r>
      <w:r w:rsidRPr="008254C9">
        <w:rPr>
          <w:rFonts w:ascii="Arial" w:hAnsi="Arial" w:cs="Arial"/>
          <w:sz w:val="22"/>
          <w:szCs w:val="22"/>
        </w:rPr>
        <w:t xml:space="preserve"> reserve</w:t>
      </w:r>
      <w:r w:rsidR="008B1138">
        <w:rPr>
          <w:rFonts w:ascii="Arial" w:hAnsi="Arial" w:cs="Arial"/>
          <w:sz w:val="22"/>
          <w:szCs w:val="22"/>
        </w:rPr>
        <w:t>s</w:t>
      </w:r>
      <w:r w:rsidRPr="008254C9">
        <w:rPr>
          <w:rFonts w:ascii="Arial" w:hAnsi="Arial" w:cs="Arial"/>
          <w:sz w:val="22"/>
          <w:szCs w:val="22"/>
        </w:rPr>
        <w:t xml:space="preserve"> the right to take remedial action under the terms of the contract for what it considers to be unusual fluctuations</w:t>
      </w:r>
      <w:r w:rsidR="00266C8D">
        <w:rPr>
          <w:rFonts w:ascii="Arial" w:hAnsi="Arial" w:cs="Arial"/>
          <w:sz w:val="22"/>
          <w:szCs w:val="22"/>
        </w:rPr>
        <w:t xml:space="preserve">. </w:t>
      </w:r>
    </w:p>
    <w:p w14:paraId="3D4DAFCB" w14:textId="77777777" w:rsidR="00C236A9" w:rsidRPr="008254C9" w:rsidRDefault="00C236A9" w:rsidP="00C236A9">
      <w:pPr>
        <w:pStyle w:val="NormalWeb"/>
        <w:rPr>
          <w:rFonts w:ascii="Arial" w:hAnsi="Arial" w:cs="Arial"/>
          <w:color w:val="000000"/>
          <w:sz w:val="22"/>
          <w:szCs w:val="22"/>
        </w:rPr>
      </w:pPr>
      <w:r w:rsidRPr="008254C9">
        <w:rPr>
          <w:rFonts w:ascii="Arial" w:hAnsi="Arial" w:cs="Arial"/>
          <w:color w:val="000000"/>
          <w:sz w:val="22"/>
          <w:szCs w:val="22"/>
        </w:rPr>
        <w:t>​</w:t>
      </w:r>
    </w:p>
    <w:p w14:paraId="685DC9E6" w14:textId="5A455F37" w:rsidR="00DA2F39" w:rsidRPr="00B90D3A" w:rsidRDefault="00C236A9" w:rsidP="00B90D3A">
      <w:pPr>
        <w:pStyle w:val="NormalWeb"/>
        <w:rPr>
          <w:rFonts w:ascii="Arial" w:hAnsi="Arial" w:cs="Arial"/>
          <w:color w:val="000000"/>
          <w:sz w:val="22"/>
          <w:szCs w:val="22"/>
        </w:rPr>
      </w:pPr>
      <w:r w:rsidRPr="008254C9">
        <w:rPr>
          <w:rFonts w:ascii="Arial" w:hAnsi="Arial" w:cs="Arial"/>
          <w:color w:val="000000"/>
          <w:sz w:val="22"/>
          <w:szCs w:val="22"/>
        </w:rPr>
        <w:t xml:space="preserve">If </w:t>
      </w:r>
      <w:r w:rsidR="008B1138">
        <w:rPr>
          <w:rFonts w:ascii="Arial" w:hAnsi="Arial" w:cs="Arial"/>
          <w:color w:val="000000"/>
          <w:sz w:val="22"/>
          <w:szCs w:val="22"/>
        </w:rPr>
        <w:t>C2C</w:t>
      </w:r>
      <w:r w:rsidRPr="008254C9">
        <w:rPr>
          <w:rFonts w:ascii="Arial" w:hAnsi="Arial" w:cs="Arial"/>
          <w:color w:val="000000"/>
          <w:sz w:val="22"/>
          <w:szCs w:val="22"/>
        </w:rPr>
        <w:t xml:space="preserve"> referrals seem to be increasing disproportionately to GP referrals or if referrals from one clinical department seem higher than expected, a joint review should be</w:t>
      </w:r>
      <w:r w:rsidR="00F62DD8">
        <w:rPr>
          <w:rFonts w:ascii="Arial" w:hAnsi="Arial" w:cs="Arial"/>
          <w:color w:val="000000"/>
          <w:sz w:val="22"/>
          <w:szCs w:val="22"/>
        </w:rPr>
        <w:t xml:space="preserve"> </w:t>
      </w:r>
      <w:r w:rsidRPr="00914793">
        <w:rPr>
          <w:rFonts w:ascii="Arial" w:hAnsi="Arial" w:cs="Arial"/>
          <w:color w:val="000000"/>
          <w:sz w:val="22"/>
          <w:szCs w:val="22"/>
        </w:rPr>
        <w:t>undertaken by the Trust</w:t>
      </w:r>
      <w:r w:rsidR="008B1138">
        <w:rPr>
          <w:rFonts w:ascii="Arial" w:hAnsi="Arial" w:cs="Arial"/>
          <w:color w:val="000000"/>
          <w:sz w:val="22"/>
          <w:szCs w:val="22"/>
        </w:rPr>
        <w:t>s</w:t>
      </w:r>
      <w:r w:rsidRPr="00914793">
        <w:rPr>
          <w:rFonts w:ascii="Arial" w:hAnsi="Arial" w:cs="Arial"/>
          <w:color w:val="000000"/>
          <w:sz w:val="22"/>
          <w:szCs w:val="22"/>
        </w:rPr>
        <w:t xml:space="preserve"> and Commissioners to understand the reasons for this and to identify pathway improvements</w:t>
      </w:r>
      <w:r w:rsidR="00736F0B" w:rsidRPr="00914793">
        <w:rPr>
          <w:rFonts w:ascii="Arial" w:hAnsi="Arial" w:cs="Arial"/>
          <w:color w:val="000000"/>
          <w:sz w:val="22"/>
          <w:szCs w:val="22"/>
        </w:rPr>
        <w:t xml:space="preserve"> in accordance with </w:t>
      </w:r>
      <w:r w:rsidR="00A14F4F" w:rsidRPr="00914793">
        <w:rPr>
          <w:rFonts w:ascii="Arial" w:hAnsi="Arial" w:cs="Arial"/>
          <w:color w:val="000000"/>
          <w:sz w:val="22"/>
          <w:szCs w:val="22"/>
        </w:rPr>
        <w:t>the contract</w:t>
      </w:r>
      <w:r w:rsidR="00736F0B" w:rsidRPr="00914793">
        <w:rPr>
          <w:rFonts w:ascii="Arial" w:hAnsi="Arial" w:cs="Arial"/>
          <w:color w:val="000000"/>
          <w:sz w:val="22"/>
          <w:szCs w:val="22"/>
        </w:rPr>
        <w:t xml:space="preserve"> audit processes</w:t>
      </w:r>
      <w:r w:rsidR="00B90D3A" w:rsidRPr="00914793">
        <w:rPr>
          <w:rFonts w:ascii="Arial" w:hAnsi="Arial" w:cs="Arial"/>
          <w:color w:val="000000"/>
          <w:sz w:val="22"/>
          <w:szCs w:val="22"/>
        </w:rPr>
        <w:t>.</w:t>
      </w:r>
    </w:p>
    <w:sectPr w:rsidR="00DA2F39" w:rsidRPr="00B90D3A" w:rsidSect="00691456">
      <w:headerReference w:type="default" r:id="rId8"/>
      <w:footerReference w:type="default" r:id="rId9"/>
      <w:pgSz w:w="12240" w:h="15840"/>
      <w:pgMar w:top="1702" w:right="1440" w:bottom="1440" w:left="1440" w:header="17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52C21" w14:textId="77777777" w:rsidR="00F47344" w:rsidRDefault="00F47344" w:rsidP="00190220">
      <w:pPr>
        <w:spacing w:after="0" w:line="240" w:lineRule="auto"/>
      </w:pPr>
      <w:r>
        <w:separator/>
      </w:r>
    </w:p>
  </w:endnote>
  <w:endnote w:type="continuationSeparator" w:id="0">
    <w:p w14:paraId="46979E70" w14:textId="77777777" w:rsidR="00F47344" w:rsidRDefault="00F47344" w:rsidP="00190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190972"/>
      <w:docPartObj>
        <w:docPartGallery w:val="Page Numbers (Bottom of Page)"/>
        <w:docPartUnique/>
      </w:docPartObj>
    </w:sdtPr>
    <w:sdtEndPr>
      <w:rPr>
        <w:noProof/>
      </w:rPr>
    </w:sdtEndPr>
    <w:sdtContent>
      <w:p w14:paraId="57BEE041" w14:textId="1BE83AC9" w:rsidR="001D43C7" w:rsidRDefault="001D43C7">
        <w:pPr>
          <w:pStyle w:val="Footer"/>
          <w:jc w:val="right"/>
        </w:pPr>
        <w:r>
          <w:fldChar w:fldCharType="begin"/>
        </w:r>
        <w:r>
          <w:instrText xml:space="preserve"> PAGE   \* MERGEFORMAT </w:instrText>
        </w:r>
        <w:r>
          <w:fldChar w:fldCharType="separate"/>
        </w:r>
        <w:r w:rsidR="00D93C5E">
          <w:rPr>
            <w:noProof/>
          </w:rPr>
          <w:t>4</w:t>
        </w:r>
        <w:r>
          <w:rPr>
            <w:noProof/>
          </w:rPr>
          <w:fldChar w:fldCharType="end"/>
        </w:r>
      </w:p>
    </w:sdtContent>
  </w:sdt>
  <w:p w14:paraId="134D44DD" w14:textId="68D0FE94" w:rsidR="00D93C5E" w:rsidRDefault="001E2BA1">
    <w:pPr>
      <w:pStyle w:val="Footer"/>
      <w:rPr>
        <w:rFonts w:ascii="Arial" w:hAnsi="Arial" w:cs="Arial"/>
      </w:rPr>
    </w:pPr>
    <w:r>
      <w:rPr>
        <w:rFonts w:ascii="Arial" w:hAnsi="Arial" w:cs="Arial"/>
      </w:rPr>
      <w:t>Consultant to Consultant Referral Policy</w:t>
    </w:r>
    <w:r w:rsidR="00D93C5E">
      <w:rPr>
        <w:rFonts w:ascii="Arial" w:hAnsi="Arial" w:cs="Arial"/>
      </w:rPr>
      <w:t xml:space="preserve"> </w:t>
    </w:r>
    <w:r w:rsidR="00671148">
      <w:rPr>
        <w:rFonts w:ascii="Arial" w:hAnsi="Arial" w:cs="Arial"/>
      </w:rPr>
      <w:t>–</w:t>
    </w:r>
    <w:r w:rsidR="00D93C5E">
      <w:rPr>
        <w:rFonts w:ascii="Arial" w:hAnsi="Arial" w:cs="Arial"/>
      </w:rPr>
      <w:t xml:space="preserve"> </w:t>
    </w:r>
    <w:r w:rsidR="00671148">
      <w:rPr>
        <w:rFonts w:ascii="Arial" w:hAnsi="Arial" w:cs="Arial"/>
      </w:rPr>
      <w:t>2022</w:t>
    </w:r>
    <w:r w:rsidR="008709D5">
      <w:rPr>
        <w:rFonts w:ascii="Arial" w:hAnsi="Arial" w:cs="Arial"/>
      </w:rPr>
      <w:t xml:space="preserve"> Final</w:t>
    </w:r>
  </w:p>
  <w:p w14:paraId="54623C11" w14:textId="55D95203" w:rsidR="00D93C5E" w:rsidRDefault="00D93C5E">
    <w:pPr>
      <w:pStyle w:val="Footer"/>
      <w:rPr>
        <w:rFonts w:ascii="Arial" w:hAnsi="Arial" w:cs="Arial"/>
      </w:rPr>
    </w:pPr>
    <w:r>
      <w:rPr>
        <w:rFonts w:ascii="Arial" w:hAnsi="Arial" w:cs="Arial"/>
      </w:rPr>
      <w:t>Author = Janice Shirley</w:t>
    </w:r>
    <w:r w:rsidR="00F72D00">
      <w:rPr>
        <w:rFonts w:ascii="Arial" w:hAnsi="Arial" w:cs="Arial"/>
      </w:rPr>
      <w:t>, Senior Programme Manager, Elective Care Access</w:t>
    </w:r>
  </w:p>
  <w:p w14:paraId="74BD9454" w14:textId="5D86AB34" w:rsidR="00A8238A" w:rsidRPr="001E2BA1" w:rsidRDefault="00D93C5E">
    <w:pPr>
      <w:pStyle w:val="Footer"/>
      <w:rPr>
        <w:rFonts w:ascii="Arial" w:hAnsi="Arial" w:cs="Arial"/>
      </w:rPr>
    </w:pPr>
    <w:r>
      <w:rPr>
        <w:rFonts w:ascii="Arial" w:hAnsi="Arial" w:cs="Arial"/>
      </w:rPr>
      <w:t xml:space="preserve">Date </w:t>
    </w:r>
    <w:r w:rsidR="008709D5">
      <w:rPr>
        <w:rFonts w:ascii="Arial" w:hAnsi="Arial" w:cs="Arial"/>
      </w:rPr>
      <w:t>05.12.2022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9415A" w14:textId="77777777" w:rsidR="00F47344" w:rsidRDefault="00F47344" w:rsidP="00190220">
      <w:pPr>
        <w:spacing w:after="0" w:line="240" w:lineRule="auto"/>
      </w:pPr>
      <w:r>
        <w:separator/>
      </w:r>
    </w:p>
  </w:footnote>
  <w:footnote w:type="continuationSeparator" w:id="0">
    <w:p w14:paraId="2D53307B" w14:textId="77777777" w:rsidR="00F47344" w:rsidRDefault="00F47344" w:rsidP="00190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09B3" w14:textId="1256F07F" w:rsidR="00190220" w:rsidRDefault="00190220" w:rsidP="00691456">
    <w:pPr>
      <w:pStyle w:val="Header"/>
      <w:jc w:val="right"/>
    </w:pPr>
    <w:r>
      <w:tab/>
    </w:r>
    <w:r>
      <w:tab/>
    </w:r>
    <w:r w:rsidR="00503903">
      <w:rPr>
        <w:noProof/>
      </w:rPr>
      <w:drawing>
        <wp:inline distT="0" distB="0" distL="0" distR="0" wp14:anchorId="2C54F38E" wp14:editId="1089D3D5">
          <wp:extent cx="1802130" cy="781050"/>
          <wp:effectExtent l="0" t="0" r="0" b="0"/>
          <wp:docPr id="7" name="Picture 7" descr="Norfolk and Waveney I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orfolk and Waveney ICB logo"/>
                  <pic:cNvPicPr/>
                </pic:nvPicPr>
                <pic:blipFill>
                  <a:blip r:embed="rId1">
                    <a:extLst>
                      <a:ext uri="{28A0092B-C50C-407E-A947-70E740481C1C}">
                        <a14:useLocalDpi xmlns:a14="http://schemas.microsoft.com/office/drawing/2010/main" val="0"/>
                      </a:ext>
                    </a:extLst>
                  </a:blip>
                  <a:stretch>
                    <a:fillRect/>
                  </a:stretch>
                </pic:blipFill>
                <pic:spPr>
                  <a:xfrm>
                    <a:off x="0" y="0"/>
                    <a:ext cx="1804696" cy="7821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35584"/>
    <w:multiLevelType w:val="hybridMultilevel"/>
    <w:tmpl w:val="BCCA2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CF44D6"/>
    <w:multiLevelType w:val="hybridMultilevel"/>
    <w:tmpl w:val="094AE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70B51"/>
    <w:multiLevelType w:val="multilevel"/>
    <w:tmpl w:val="A0042D38"/>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D8867B4"/>
    <w:multiLevelType w:val="hybridMultilevel"/>
    <w:tmpl w:val="4C0CE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AD3661"/>
    <w:multiLevelType w:val="hybridMultilevel"/>
    <w:tmpl w:val="ADCA8F5A"/>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5" w15:restartNumberingAfterBreak="0">
    <w:nsid w:val="532E426F"/>
    <w:multiLevelType w:val="hybridMultilevel"/>
    <w:tmpl w:val="600C2E6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5CC13106"/>
    <w:multiLevelType w:val="hybridMultilevel"/>
    <w:tmpl w:val="4CC209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28137C1"/>
    <w:multiLevelType w:val="hybridMultilevel"/>
    <w:tmpl w:val="6754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8F31D2"/>
    <w:multiLevelType w:val="hybridMultilevel"/>
    <w:tmpl w:val="FA588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7304480">
    <w:abstractNumId w:val="6"/>
  </w:num>
  <w:num w:numId="2" w16cid:durableId="1451558041">
    <w:abstractNumId w:val="8"/>
  </w:num>
  <w:num w:numId="3" w16cid:durableId="1465461477">
    <w:abstractNumId w:val="3"/>
  </w:num>
  <w:num w:numId="4" w16cid:durableId="1066340421">
    <w:abstractNumId w:val="7"/>
  </w:num>
  <w:num w:numId="5" w16cid:durableId="2133554662">
    <w:abstractNumId w:val="1"/>
  </w:num>
  <w:num w:numId="6" w16cid:durableId="40716649">
    <w:abstractNumId w:val="5"/>
  </w:num>
  <w:num w:numId="7" w16cid:durableId="123473830">
    <w:abstractNumId w:val="4"/>
  </w:num>
  <w:num w:numId="8" w16cid:durableId="168646537">
    <w:abstractNumId w:val="0"/>
  </w:num>
  <w:num w:numId="9" w16cid:durableId="565527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220"/>
    <w:rsid w:val="00004F2B"/>
    <w:rsid w:val="000055F5"/>
    <w:rsid w:val="00021509"/>
    <w:rsid w:val="000561A2"/>
    <w:rsid w:val="00067057"/>
    <w:rsid w:val="00080F9F"/>
    <w:rsid w:val="000A0701"/>
    <w:rsid w:val="000A25FC"/>
    <w:rsid w:val="000C26DC"/>
    <w:rsid w:val="000C69F3"/>
    <w:rsid w:val="000D3F78"/>
    <w:rsid w:val="000F4AEF"/>
    <w:rsid w:val="0010731E"/>
    <w:rsid w:val="0011734C"/>
    <w:rsid w:val="001203C3"/>
    <w:rsid w:val="00123C39"/>
    <w:rsid w:val="00131340"/>
    <w:rsid w:val="001347EA"/>
    <w:rsid w:val="00134B23"/>
    <w:rsid w:val="00147882"/>
    <w:rsid w:val="00157D2D"/>
    <w:rsid w:val="001627F7"/>
    <w:rsid w:val="00175036"/>
    <w:rsid w:val="00190220"/>
    <w:rsid w:val="00195221"/>
    <w:rsid w:val="001C58AD"/>
    <w:rsid w:val="001D43C7"/>
    <w:rsid w:val="001D4D4C"/>
    <w:rsid w:val="001D6B7F"/>
    <w:rsid w:val="001E2BA1"/>
    <w:rsid w:val="001F2C07"/>
    <w:rsid w:val="001F5B98"/>
    <w:rsid w:val="00203B4C"/>
    <w:rsid w:val="00205CF3"/>
    <w:rsid w:val="00207867"/>
    <w:rsid w:val="00226204"/>
    <w:rsid w:val="002533F2"/>
    <w:rsid w:val="0025751E"/>
    <w:rsid w:val="00266C8D"/>
    <w:rsid w:val="00271DD6"/>
    <w:rsid w:val="002D77B9"/>
    <w:rsid w:val="002E0891"/>
    <w:rsid w:val="002E2659"/>
    <w:rsid w:val="002E6A12"/>
    <w:rsid w:val="002F7FB3"/>
    <w:rsid w:val="00323A50"/>
    <w:rsid w:val="003257FF"/>
    <w:rsid w:val="003554AC"/>
    <w:rsid w:val="0038487E"/>
    <w:rsid w:val="00391535"/>
    <w:rsid w:val="003E1194"/>
    <w:rsid w:val="003E316D"/>
    <w:rsid w:val="003F03EB"/>
    <w:rsid w:val="003F3CA4"/>
    <w:rsid w:val="00422D6E"/>
    <w:rsid w:val="004425B2"/>
    <w:rsid w:val="00470677"/>
    <w:rsid w:val="0047771D"/>
    <w:rsid w:val="00484EF6"/>
    <w:rsid w:val="004C43E3"/>
    <w:rsid w:val="004C5239"/>
    <w:rsid w:val="00503903"/>
    <w:rsid w:val="005741CD"/>
    <w:rsid w:val="00575C8C"/>
    <w:rsid w:val="005A2F7C"/>
    <w:rsid w:val="005A7868"/>
    <w:rsid w:val="005C0DBB"/>
    <w:rsid w:val="005C77C3"/>
    <w:rsid w:val="005E1ACF"/>
    <w:rsid w:val="005E2DDB"/>
    <w:rsid w:val="005E6C3F"/>
    <w:rsid w:val="006326C2"/>
    <w:rsid w:val="00671148"/>
    <w:rsid w:val="00673242"/>
    <w:rsid w:val="0067671E"/>
    <w:rsid w:val="00691456"/>
    <w:rsid w:val="0069203B"/>
    <w:rsid w:val="006956C0"/>
    <w:rsid w:val="006B7CE1"/>
    <w:rsid w:val="006D222C"/>
    <w:rsid w:val="006F5411"/>
    <w:rsid w:val="007024D8"/>
    <w:rsid w:val="00706818"/>
    <w:rsid w:val="00712E38"/>
    <w:rsid w:val="00715BBB"/>
    <w:rsid w:val="007256A1"/>
    <w:rsid w:val="00736F0B"/>
    <w:rsid w:val="00745BE2"/>
    <w:rsid w:val="00746435"/>
    <w:rsid w:val="007600A8"/>
    <w:rsid w:val="00761850"/>
    <w:rsid w:val="007717D1"/>
    <w:rsid w:val="00774F3D"/>
    <w:rsid w:val="0078761A"/>
    <w:rsid w:val="00790622"/>
    <w:rsid w:val="00792325"/>
    <w:rsid w:val="007966FB"/>
    <w:rsid w:val="007B46D8"/>
    <w:rsid w:val="007C55BF"/>
    <w:rsid w:val="007D40EE"/>
    <w:rsid w:val="007E119A"/>
    <w:rsid w:val="007F452B"/>
    <w:rsid w:val="0080108D"/>
    <w:rsid w:val="00815B02"/>
    <w:rsid w:val="008254C9"/>
    <w:rsid w:val="00834609"/>
    <w:rsid w:val="00861BA7"/>
    <w:rsid w:val="00864288"/>
    <w:rsid w:val="008709D5"/>
    <w:rsid w:val="00881F1E"/>
    <w:rsid w:val="008A4B9C"/>
    <w:rsid w:val="008B1138"/>
    <w:rsid w:val="008B7F6D"/>
    <w:rsid w:val="008C43A9"/>
    <w:rsid w:val="008C4ACC"/>
    <w:rsid w:val="008D3B64"/>
    <w:rsid w:val="00905E89"/>
    <w:rsid w:val="00914793"/>
    <w:rsid w:val="0093134A"/>
    <w:rsid w:val="0094423B"/>
    <w:rsid w:val="00945C74"/>
    <w:rsid w:val="00946668"/>
    <w:rsid w:val="009474E4"/>
    <w:rsid w:val="009713A3"/>
    <w:rsid w:val="00977E67"/>
    <w:rsid w:val="00982016"/>
    <w:rsid w:val="009836DC"/>
    <w:rsid w:val="009911E1"/>
    <w:rsid w:val="009C1456"/>
    <w:rsid w:val="009E7244"/>
    <w:rsid w:val="00A079E9"/>
    <w:rsid w:val="00A10E5E"/>
    <w:rsid w:val="00A14F4F"/>
    <w:rsid w:val="00A22B41"/>
    <w:rsid w:val="00A23DDB"/>
    <w:rsid w:val="00A31782"/>
    <w:rsid w:val="00A711C0"/>
    <w:rsid w:val="00A8238A"/>
    <w:rsid w:val="00AA25A7"/>
    <w:rsid w:val="00AC1B83"/>
    <w:rsid w:val="00AC4A2E"/>
    <w:rsid w:val="00B07605"/>
    <w:rsid w:val="00B157D9"/>
    <w:rsid w:val="00B21AC0"/>
    <w:rsid w:val="00B42C16"/>
    <w:rsid w:val="00B43EC5"/>
    <w:rsid w:val="00B8324F"/>
    <w:rsid w:val="00B90D3A"/>
    <w:rsid w:val="00BA4B50"/>
    <w:rsid w:val="00BC79DA"/>
    <w:rsid w:val="00C22F31"/>
    <w:rsid w:val="00C236A9"/>
    <w:rsid w:val="00C3149D"/>
    <w:rsid w:val="00C32A5E"/>
    <w:rsid w:val="00C338EF"/>
    <w:rsid w:val="00C3432E"/>
    <w:rsid w:val="00C566D3"/>
    <w:rsid w:val="00C63CA2"/>
    <w:rsid w:val="00CF62D2"/>
    <w:rsid w:val="00D0647A"/>
    <w:rsid w:val="00D07B3A"/>
    <w:rsid w:val="00D17D60"/>
    <w:rsid w:val="00D528BE"/>
    <w:rsid w:val="00D57F64"/>
    <w:rsid w:val="00D77882"/>
    <w:rsid w:val="00D82AAD"/>
    <w:rsid w:val="00D93C5E"/>
    <w:rsid w:val="00DA15C5"/>
    <w:rsid w:val="00DA2F39"/>
    <w:rsid w:val="00DE585A"/>
    <w:rsid w:val="00E02A76"/>
    <w:rsid w:val="00E02D86"/>
    <w:rsid w:val="00E04A92"/>
    <w:rsid w:val="00E7049C"/>
    <w:rsid w:val="00EA164D"/>
    <w:rsid w:val="00EA2CE9"/>
    <w:rsid w:val="00EC66AB"/>
    <w:rsid w:val="00ED7F4B"/>
    <w:rsid w:val="00EE0FFA"/>
    <w:rsid w:val="00EE3AC4"/>
    <w:rsid w:val="00EF3369"/>
    <w:rsid w:val="00F47344"/>
    <w:rsid w:val="00F62DD8"/>
    <w:rsid w:val="00F66CC4"/>
    <w:rsid w:val="00F72A0B"/>
    <w:rsid w:val="00F72D00"/>
    <w:rsid w:val="00F90D6F"/>
    <w:rsid w:val="00FA388F"/>
    <w:rsid w:val="00FB3C9A"/>
    <w:rsid w:val="00FB69A4"/>
    <w:rsid w:val="00FC6CAB"/>
    <w:rsid w:val="00FD4991"/>
    <w:rsid w:val="00FE2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E2B03"/>
  <w15:docId w15:val="{9F4C2CDD-5A6E-4C23-BDA5-EE144532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3F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F7F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7F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220"/>
  </w:style>
  <w:style w:type="paragraph" w:styleId="Footer">
    <w:name w:val="footer"/>
    <w:basedOn w:val="Normal"/>
    <w:link w:val="FooterChar"/>
    <w:uiPriority w:val="99"/>
    <w:unhideWhenUsed/>
    <w:rsid w:val="00190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220"/>
  </w:style>
  <w:style w:type="paragraph" w:styleId="ListParagraph">
    <w:name w:val="List Paragraph"/>
    <w:basedOn w:val="Normal"/>
    <w:uiPriority w:val="34"/>
    <w:qFormat/>
    <w:rsid w:val="00190220"/>
    <w:pPr>
      <w:ind w:left="720"/>
      <w:contextualSpacing/>
    </w:pPr>
  </w:style>
  <w:style w:type="paragraph" w:styleId="NormalWeb">
    <w:name w:val="Normal (Web)"/>
    <w:basedOn w:val="Normal"/>
    <w:uiPriority w:val="99"/>
    <w:unhideWhenUsed/>
    <w:rsid w:val="00C236A9"/>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25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4C9"/>
    <w:rPr>
      <w:rFonts w:ascii="Tahoma" w:hAnsi="Tahoma" w:cs="Tahoma"/>
      <w:sz w:val="16"/>
      <w:szCs w:val="16"/>
    </w:rPr>
  </w:style>
  <w:style w:type="character" w:styleId="CommentReference">
    <w:name w:val="annotation reference"/>
    <w:basedOn w:val="DefaultParagraphFont"/>
    <w:uiPriority w:val="99"/>
    <w:semiHidden/>
    <w:unhideWhenUsed/>
    <w:rsid w:val="006326C2"/>
    <w:rPr>
      <w:sz w:val="16"/>
      <w:szCs w:val="16"/>
    </w:rPr>
  </w:style>
  <w:style w:type="paragraph" w:styleId="CommentText">
    <w:name w:val="annotation text"/>
    <w:basedOn w:val="Normal"/>
    <w:link w:val="CommentTextChar"/>
    <w:uiPriority w:val="99"/>
    <w:semiHidden/>
    <w:unhideWhenUsed/>
    <w:rsid w:val="006326C2"/>
    <w:pPr>
      <w:spacing w:line="240" w:lineRule="auto"/>
    </w:pPr>
    <w:rPr>
      <w:sz w:val="20"/>
      <w:szCs w:val="20"/>
    </w:rPr>
  </w:style>
  <w:style w:type="character" w:customStyle="1" w:styleId="CommentTextChar">
    <w:name w:val="Comment Text Char"/>
    <w:basedOn w:val="DefaultParagraphFont"/>
    <w:link w:val="CommentText"/>
    <w:uiPriority w:val="99"/>
    <w:semiHidden/>
    <w:rsid w:val="006326C2"/>
    <w:rPr>
      <w:sz w:val="20"/>
      <w:szCs w:val="20"/>
    </w:rPr>
  </w:style>
  <w:style w:type="paragraph" w:styleId="CommentSubject">
    <w:name w:val="annotation subject"/>
    <w:basedOn w:val="CommentText"/>
    <w:next w:val="CommentText"/>
    <w:link w:val="CommentSubjectChar"/>
    <w:uiPriority w:val="99"/>
    <w:semiHidden/>
    <w:unhideWhenUsed/>
    <w:rsid w:val="006326C2"/>
    <w:rPr>
      <w:b/>
      <w:bCs/>
    </w:rPr>
  </w:style>
  <w:style w:type="character" w:customStyle="1" w:styleId="CommentSubjectChar">
    <w:name w:val="Comment Subject Char"/>
    <w:basedOn w:val="CommentTextChar"/>
    <w:link w:val="CommentSubject"/>
    <w:uiPriority w:val="99"/>
    <w:semiHidden/>
    <w:rsid w:val="006326C2"/>
    <w:rPr>
      <w:b/>
      <w:bCs/>
      <w:sz w:val="20"/>
      <w:szCs w:val="20"/>
    </w:rPr>
  </w:style>
  <w:style w:type="paragraph" w:customStyle="1" w:styleId="Default">
    <w:name w:val="Default"/>
    <w:rsid w:val="001F2C07"/>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1F2C07"/>
    <w:rPr>
      <w:color w:val="0563C1" w:themeColor="hyperlink"/>
      <w:u w:val="single"/>
    </w:rPr>
  </w:style>
  <w:style w:type="paragraph" w:styleId="NoSpacing">
    <w:name w:val="No Spacing"/>
    <w:uiPriority w:val="1"/>
    <w:qFormat/>
    <w:rsid w:val="001F2C07"/>
    <w:pPr>
      <w:spacing w:after="0" w:line="240" w:lineRule="auto"/>
      <w:ind w:left="330" w:right="264" w:hanging="10"/>
    </w:pPr>
    <w:rPr>
      <w:rFonts w:ascii="Arial" w:eastAsia="Arial" w:hAnsi="Arial" w:cs="Arial"/>
      <w:color w:val="000000"/>
      <w:sz w:val="24"/>
      <w:lang w:eastAsia="en-GB"/>
    </w:rPr>
  </w:style>
  <w:style w:type="character" w:customStyle="1" w:styleId="Heading1Char">
    <w:name w:val="Heading 1 Char"/>
    <w:basedOn w:val="DefaultParagraphFont"/>
    <w:link w:val="Heading1"/>
    <w:uiPriority w:val="9"/>
    <w:rsid w:val="000D3F7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D3F78"/>
    <w:pPr>
      <w:outlineLvl w:val="9"/>
    </w:pPr>
    <w:rPr>
      <w:lang w:val="en-US"/>
    </w:rPr>
  </w:style>
  <w:style w:type="character" w:customStyle="1" w:styleId="Heading2Char">
    <w:name w:val="Heading 2 Char"/>
    <w:basedOn w:val="DefaultParagraphFont"/>
    <w:link w:val="Heading2"/>
    <w:uiPriority w:val="9"/>
    <w:rsid w:val="002F7FB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F7FB3"/>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5C77C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414706">
      <w:bodyDiv w:val="1"/>
      <w:marLeft w:val="0"/>
      <w:marRight w:val="0"/>
      <w:marTop w:val="0"/>
      <w:marBottom w:val="0"/>
      <w:divBdr>
        <w:top w:val="none" w:sz="0" w:space="0" w:color="auto"/>
        <w:left w:val="none" w:sz="0" w:space="0" w:color="auto"/>
        <w:bottom w:val="none" w:sz="0" w:space="0" w:color="auto"/>
        <w:right w:val="none" w:sz="0" w:space="0" w:color="auto"/>
      </w:divBdr>
    </w:div>
    <w:div w:id="184924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8DF79A7FEAEC4C96E136867DB4E354" ma:contentTypeVersion="16" ma:contentTypeDescription="Create a new document." ma:contentTypeScope="" ma:versionID="b763876e142349bfdca5b2ed4d9d16c8">
  <xsd:schema xmlns:xsd="http://www.w3.org/2001/XMLSchema" xmlns:xs="http://www.w3.org/2001/XMLSchema" xmlns:p="http://schemas.microsoft.com/office/2006/metadata/properties" xmlns:ns1="http://schemas.microsoft.com/sharepoint/v3" xmlns:ns2="5d416568-c844-4841-8fd5-359c25164097" xmlns:ns3="7c214a24-011e-4db2-9224-45738babe0f8" targetNamespace="http://schemas.microsoft.com/office/2006/metadata/properties" ma:root="true" ma:fieldsID="158dfa1dc65caf69ff1d70b6711dbf43" ns1:_="" ns2:_="" ns3:_="">
    <xsd:import namespace="http://schemas.microsoft.com/sharepoint/v3"/>
    <xsd:import namespace="5d416568-c844-4841-8fd5-359c25164097"/>
    <xsd:import namespace="7c214a24-011e-4db2-9224-45738babe0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16568-c844-4841-8fd5-359c25164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214a24-011e-4db2-9224-45738babe0f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3cf3103-e423-47f8-927c-ee101a9558ca}" ma:internalName="TaxCatchAll" ma:showField="CatchAllData" ma:web="7c214a24-011e-4db2-9224-45738babe0f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c214a24-011e-4db2-9224-45738babe0f8" xsi:nil="true"/>
    <lcf76f155ced4ddcb4097134ff3c332f xmlns="5d416568-c844-4841-8fd5-359c251640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82BC18-A625-43D2-A5EE-7D41B97528CF}">
  <ds:schemaRefs>
    <ds:schemaRef ds:uri="http://schemas.openxmlformats.org/officeDocument/2006/bibliography"/>
  </ds:schemaRefs>
</ds:datastoreItem>
</file>

<file path=customXml/itemProps2.xml><?xml version="1.0" encoding="utf-8"?>
<ds:datastoreItem xmlns:ds="http://schemas.openxmlformats.org/officeDocument/2006/customXml" ds:itemID="{E2021C33-0940-4B6E-A23D-A2396685378C}"/>
</file>

<file path=customXml/itemProps3.xml><?xml version="1.0" encoding="utf-8"?>
<ds:datastoreItem xmlns:ds="http://schemas.openxmlformats.org/officeDocument/2006/customXml" ds:itemID="{7C7401FF-9694-4F76-A7A1-7CE7F262D4F5}"/>
</file>

<file path=customXml/itemProps4.xml><?xml version="1.0" encoding="utf-8"?>
<ds:datastoreItem xmlns:ds="http://schemas.openxmlformats.org/officeDocument/2006/customXml" ds:itemID="{D6C476BB-EE6F-4ACE-A95C-CACBA40DBF90}"/>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11</TotalTime>
  <Pages>8</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NHS NELCSU</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Carragher, Eugene - Senior Contract Manager</dc:creator>
  <cp:lastModifiedBy>HART, Catriona (NHS NORFOLK AND WAVENEY ICB - 26A)</cp:lastModifiedBy>
  <cp:revision>3</cp:revision>
  <cp:lastPrinted>2023-11-28T16:41:00Z</cp:lastPrinted>
  <dcterms:created xsi:type="dcterms:W3CDTF">2023-11-28T16:40:00Z</dcterms:created>
  <dcterms:modified xsi:type="dcterms:W3CDTF">2023-11-28T16:41:00Z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0x010100A98DF79A7FEAEC4C96E136867DB4E354</vt:lpwstr>
  </property>
</Properties>
</file>